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68"/>
        <w:gridCol w:w="1388"/>
      </w:tblGrid>
      <w:tr w:rsidR="00B21479" w:rsidRPr="00270D24" w:rsidTr="009D6486">
        <w:trPr>
          <w:trHeight w:val="1629"/>
        </w:trPr>
        <w:tc>
          <w:tcPr>
            <w:tcW w:w="7868" w:type="dxa"/>
            <w:vAlign w:val="bottom"/>
          </w:tcPr>
          <w:p w:rsidR="00B21479" w:rsidRPr="00270D24" w:rsidRDefault="00B21479" w:rsidP="008E67FB">
            <w:pPr>
              <w:tabs>
                <w:tab w:val="center" w:pos="4153"/>
                <w:tab w:val="right" w:pos="8306"/>
              </w:tabs>
              <w:spacing w:after="120"/>
              <w:jc w:val="right"/>
              <w:rPr>
                <w:rFonts w:ascii="Cambria" w:hAnsi="Cambria"/>
                <w:sz w:val="40"/>
                <w:szCs w:val="40"/>
              </w:rPr>
            </w:pPr>
            <w:bookmarkStart w:id="0" w:name="_GoBack"/>
            <w:bookmarkEnd w:id="0"/>
            <w:r w:rsidRPr="00270D24">
              <w:rPr>
                <w:rFonts w:ascii="Cambria" w:hAnsi="Cambria"/>
                <w:sz w:val="40"/>
                <w:szCs w:val="40"/>
              </w:rPr>
              <w:t xml:space="preserve">Human Resources </w:t>
            </w:r>
          </w:p>
        </w:tc>
        <w:tc>
          <w:tcPr>
            <w:tcW w:w="1388" w:type="dxa"/>
          </w:tcPr>
          <w:p w:rsidR="00B21479" w:rsidRPr="00270D24" w:rsidRDefault="00B21479" w:rsidP="00C12ED0">
            <w:pPr>
              <w:tabs>
                <w:tab w:val="center" w:pos="4153"/>
                <w:tab w:val="right" w:pos="8306"/>
              </w:tabs>
              <w:spacing w:after="120"/>
              <w:rPr>
                <w:rFonts w:ascii="Cambria" w:hAnsi="Cambria"/>
                <w:b/>
                <w:bCs/>
                <w:color w:val="4F81BD"/>
                <w:sz w:val="36"/>
                <w:szCs w:val="36"/>
              </w:rPr>
            </w:pPr>
          </w:p>
        </w:tc>
      </w:tr>
    </w:tbl>
    <w:p w:rsidR="00F869DC" w:rsidRDefault="00F869DC" w:rsidP="00B21479"/>
    <w:p w:rsidR="00F869DC" w:rsidRDefault="00F869DC" w:rsidP="00B21479"/>
    <w:p w:rsidR="00F869DC" w:rsidRDefault="00F869DC" w:rsidP="00F869DC">
      <w:pPr>
        <w:jc w:val="center"/>
        <w:rPr>
          <w:rFonts w:cs="Arial"/>
          <w:b/>
        </w:rPr>
      </w:pPr>
    </w:p>
    <w:p w:rsidR="00B21479" w:rsidRDefault="009D6486" w:rsidP="00F869DC">
      <w:pPr>
        <w:jc w:val="center"/>
        <w:rPr>
          <w:rFonts w:cs="Arial"/>
          <w:b/>
        </w:rPr>
      </w:pPr>
      <w:r w:rsidRPr="00F869DC">
        <w:rPr>
          <w:b/>
          <w:noProof/>
        </w:rPr>
        <w:drawing>
          <wp:anchor distT="0" distB="0" distL="114300" distR="114300" simplePos="0" relativeHeight="251659264" behindDoc="1" locked="1" layoutInCell="1" allowOverlap="1" wp14:anchorId="37BD3160" wp14:editId="701C1314">
            <wp:simplePos x="0" y="0"/>
            <wp:positionH relativeFrom="column">
              <wp:posOffset>4939665</wp:posOffset>
            </wp:positionH>
            <wp:positionV relativeFrom="page">
              <wp:posOffset>872490</wp:posOffset>
            </wp:positionV>
            <wp:extent cx="885825" cy="11430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9DC" w:rsidRPr="00F869DC">
        <w:rPr>
          <w:rFonts w:cs="Arial"/>
          <w:b/>
        </w:rPr>
        <w:t>EMPLOYEE DATA MONITORING POLICY</w:t>
      </w:r>
    </w:p>
    <w:p w:rsidR="007E6C3F" w:rsidRDefault="007E6C3F" w:rsidP="00F869DC">
      <w:pPr>
        <w:jc w:val="center"/>
        <w:rPr>
          <w:rFonts w:cs="Arial"/>
          <w:b/>
        </w:rPr>
      </w:pPr>
    </w:p>
    <w:p w:rsidR="007E6C3F" w:rsidRDefault="007E6C3F" w:rsidP="00F869DC">
      <w:pPr>
        <w:jc w:val="center"/>
        <w:rPr>
          <w:rFonts w:cs="Arial"/>
          <w:b/>
        </w:rPr>
      </w:pPr>
    </w:p>
    <w:p w:rsidR="007E6C3F" w:rsidRDefault="007E6C3F" w:rsidP="007E6C3F">
      <w:pPr>
        <w:rPr>
          <w:rFonts w:cs="Arial"/>
          <w:b/>
        </w:rPr>
      </w:pPr>
    </w:p>
    <w:p w:rsidR="007E6C3F" w:rsidRDefault="007E6C3F" w:rsidP="00F869DC">
      <w:pPr>
        <w:jc w:val="center"/>
        <w:rPr>
          <w:rFonts w:cs="Arial"/>
          <w:b/>
        </w:rPr>
      </w:pPr>
    </w:p>
    <w:sdt>
      <w:sdtPr>
        <w:id w:val="-2107188029"/>
        <w:docPartObj>
          <w:docPartGallery w:val="Table of Contents"/>
          <w:docPartUnique/>
        </w:docPartObj>
      </w:sdtPr>
      <w:sdtEndPr>
        <w:rPr>
          <w:rFonts w:cs="Arial"/>
          <w:b/>
          <w:bCs/>
          <w:noProof/>
        </w:rPr>
      </w:sdtEndPr>
      <w:sdtContent>
        <w:p w:rsidR="007E6C3F" w:rsidRPr="005856D9" w:rsidRDefault="007E6C3F" w:rsidP="007E6C3F">
          <w:pPr>
            <w:rPr>
              <w:rFonts w:cs="Arial"/>
              <w:b/>
            </w:rPr>
          </w:pPr>
          <w:r w:rsidRPr="005856D9">
            <w:rPr>
              <w:rFonts w:cs="Arial"/>
              <w:b/>
            </w:rPr>
            <w:t>Contents</w:t>
          </w:r>
        </w:p>
        <w:p w:rsidR="0071366D" w:rsidRDefault="007E6C3F">
          <w:pPr>
            <w:pStyle w:val="TOC1"/>
            <w:tabs>
              <w:tab w:val="left" w:pos="440"/>
              <w:tab w:val="right" w:leader="dot" w:pos="9016"/>
            </w:tabs>
            <w:rPr>
              <w:rFonts w:asciiTheme="minorHAnsi" w:eastAsiaTheme="minorEastAsia" w:hAnsiTheme="minorHAnsi" w:cstheme="minorBidi"/>
              <w:noProof/>
              <w:sz w:val="22"/>
              <w:szCs w:val="22"/>
            </w:rPr>
          </w:pPr>
          <w:r w:rsidRPr="005856D9">
            <w:rPr>
              <w:rFonts w:cs="Arial"/>
            </w:rPr>
            <w:fldChar w:fldCharType="begin"/>
          </w:r>
          <w:r w:rsidRPr="005856D9">
            <w:rPr>
              <w:rFonts w:cs="Arial"/>
            </w:rPr>
            <w:instrText xml:space="preserve"> TOC \o "1-3" \h \z \u </w:instrText>
          </w:r>
          <w:r w:rsidRPr="005856D9">
            <w:rPr>
              <w:rFonts w:cs="Arial"/>
            </w:rPr>
            <w:fldChar w:fldCharType="separate"/>
          </w:r>
          <w:hyperlink w:anchor="_Toc422482494" w:history="1">
            <w:r w:rsidR="0071366D" w:rsidRPr="001D3347">
              <w:rPr>
                <w:rStyle w:val="Hyperlink"/>
                <w:noProof/>
              </w:rPr>
              <w:t>1</w:t>
            </w:r>
            <w:r w:rsidR="0071366D">
              <w:rPr>
                <w:rFonts w:asciiTheme="minorHAnsi" w:eastAsiaTheme="minorEastAsia" w:hAnsiTheme="minorHAnsi" w:cstheme="minorBidi"/>
                <w:noProof/>
                <w:sz w:val="22"/>
                <w:szCs w:val="22"/>
              </w:rPr>
              <w:tab/>
            </w:r>
            <w:r w:rsidR="0071366D" w:rsidRPr="001D3347">
              <w:rPr>
                <w:rStyle w:val="Hyperlink"/>
                <w:noProof/>
              </w:rPr>
              <w:t>Introduction</w:t>
            </w:r>
            <w:r w:rsidR="0071366D">
              <w:rPr>
                <w:noProof/>
                <w:webHidden/>
              </w:rPr>
              <w:tab/>
            </w:r>
            <w:r w:rsidR="0071366D">
              <w:rPr>
                <w:noProof/>
                <w:webHidden/>
              </w:rPr>
              <w:fldChar w:fldCharType="begin"/>
            </w:r>
            <w:r w:rsidR="0071366D">
              <w:rPr>
                <w:noProof/>
                <w:webHidden/>
              </w:rPr>
              <w:instrText xml:space="preserve"> PAGEREF _Toc422482494 \h </w:instrText>
            </w:r>
            <w:r w:rsidR="0071366D">
              <w:rPr>
                <w:noProof/>
                <w:webHidden/>
              </w:rPr>
            </w:r>
            <w:r w:rsidR="0071366D">
              <w:rPr>
                <w:noProof/>
                <w:webHidden/>
              </w:rPr>
              <w:fldChar w:fldCharType="separate"/>
            </w:r>
            <w:r w:rsidR="001A5368">
              <w:rPr>
                <w:noProof/>
                <w:webHidden/>
              </w:rPr>
              <w:t>2</w:t>
            </w:r>
            <w:r w:rsidR="0071366D">
              <w:rPr>
                <w:noProof/>
                <w:webHidden/>
              </w:rPr>
              <w:fldChar w:fldCharType="end"/>
            </w:r>
          </w:hyperlink>
        </w:p>
        <w:p w:rsidR="0071366D" w:rsidRDefault="00C0499B">
          <w:pPr>
            <w:pStyle w:val="TOC1"/>
            <w:tabs>
              <w:tab w:val="left" w:pos="440"/>
              <w:tab w:val="right" w:leader="dot" w:pos="9016"/>
            </w:tabs>
            <w:rPr>
              <w:rFonts w:asciiTheme="minorHAnsi" w:eastAsiaTheme="minorEastAsia" w:hAnsiTheme="minorHAnsi" w:cstheme="minorBidi"/>
              <w:noProof/>
              <w:sz w:val="22"/>
              <w:szCs w:val="22"/>
            </w:rPr>
          </w:pPr>
          <w:hyperlink w:anchor="_Toc422482495" w:history="1">
            <w:r w:rsidR="0071366D" w:rsidRPr="001D3347">
              <w:rPr>
                <w:rStyle w:val="Hyperlink"/>
                <w:noProof/>
              </w:rPr>
              <w:t>2</w:t>
            </w:r>
            <w:r w:rsidR="0071366D">
              <w:rPr>
                <w:rFonts w:asciiTheme="minorHAnsi" w:eastAsiaTheme="minorEastAsia" w:hAnsiTheme="minorHAnsi" w:cstheme="minorBidi"/>
                <w:noProof/>
                <w:sz w:val="22"/>
                <w:szCs w:val="22"/>
              </w:rPr>
              <w:tab/>
            </w:r>
            <w:r w:rsidR="0071366D" w:rsidRPr="001D3347">
              <w:rPr>
                <w:rStyle w:val="Hyperlink"/>
                <w:noProof/>
              </w:rPr>
              <w:t>Scope/Who is covered by this Policy?</w:t>
            </w:r>
            <w:r w:rsidR="0071366D">
              <w:rPr>
                <w:noProof/>
                <w:webHidden/>
              </w:rPr>
              <w:tab/>
            </w:r>
            <w:r w:rsidR="0071366D">
              <w:rPr>
                <w:noProof/>
                <w:webHidden/>
              </w:rPr>
              <w:fldChar w:fldCharType="begin"/>
            </w:r>
            <w:r w:rsidR="0071366D">
              <w:rPr>
                <w:noProof/>
                <w:webHidden/>
              </w:rPr>
              <w:instrText xml:space="preserve"> PAGEREF _Toc422482495 \h </w:instrText>
            </w:r>
            <w:r w:rsidR="0071366D">
              <w:rPr>
                <w:noProof/>
                <w:webHidden/>
              </w:rPr>
            </w:r>
            <w:r w:rsidR="0071366D">
              <w:rPr>
                <w:noProof/>
                <w:webHidden/>
              </w:rPr>
              <w:fldChar w:fldCharType="separate"/>
            </w:r>
            <w:r w:rsidR="001A5368">
              <w:rPr>
                <w:noProof/>
                <w:webHidden/>
              </w:rPr>
              <w:t>2</w:t>
            </w:r>
            <w:r w:rsidR="0071366D">
              <w:rPr>
                <w:noProof/>
                <w:webHidden/>
              </w:rPr>
              <w:fldChar w:fldCharType="end"/>
            </w:r>
          </w:hyperlink>
        </w:p>
        <w:p w:rsidR="0071366D" w:rsidRDefault="00C0499B">
          <w:pPr>
            <w:pStyle w:val="TOC1"/>
            <w:tabs>
              <w:tab w:val="left" w:pos="440"/>
              <w:tab w:val="right" w:leader="dot" w:pos="9016"/>
            </w:tabs>
            <w:rPr>
              <w:rFonts w:asciiTheme="minorHAnsi" w:eastAsiaTheme="minorEastAsia" w:hAnsiTheme="minorHAnsi" w:cstheme="minorBidi"/>
              <w:noProof/>
              <w:sz w:val="22"/>
              <w:szCs w:val="22"/>
            </w:rPr>
          </w:pPr>
          <w:hyperlink w:anchor="_Toc422482496" w:history="1">
            <w:r w:rsidR="0071366D" w:rsidRPr="001D3347">
              <w:rPr>
                <w:rStyle w:val="Hyperlink"/>
                <w:rFonts w:cs="Arial"/>
                <w:noProof/>
              </w:rPr>
              <w:t>3</w:t>
            </w:r>
            <w:r w:rsidR="0071366D">
              <w:rPr>
                <w:rFonts w:asciiTheme="minorHAnsi" w:eastAsiaTheme="minorEastAsia" w:hAnsiTheme="minorHAnsi" w:cstheme="minorBidi"/>
                <w:noProof/>
                <w:sz w:val="22"/>
                <w:szCs w:val="22"/>
              </w:rPr>
              <w:tab/>
            </w:r>
            <w:r w:rsidR="0071366D" w:rsidRPr="001D3347">
              <w:rPr>
                <w:rStyle w:val="Hyperlink"/>
                <w:rFonts w:cs="Arial"/>
                <w:noProof/>
              </w:rPr>
              <w:t>Monitoring Purposes</w:t>
            </w:r>
            <w:r w:rsidR="0071366D">
              <w:rPr>
                <w:noProof/>
                <w:webHidden/>
              </w:rPr>
              <w:tab/>
            </w:r>
            <w:r w:rsidR="0071366D">
              <w:rPr>
                <w:noProof/>
                <w:webHidden/>
              </w:rPr>
              <w:fldChar w:fldCharType="begin"/>
            </w:r>
            <w:r w:rsidR="0071366D">
              <w:rPr>
                <w:noProof/>
                <w:webHidden/>
              </w:rPr>
              <w:instrText xml:space="preserve"> PAGEREF _Toc422482496 \h </w:instrText>
            </w:r>
            <w:r w:rsidR="0071366D">
              <w:rPr>
                <w:noProof/>
                <w:webHidden/>
              </w:rPr>
            </w:r>
            <w:r w:rsidR="0071366D">
              <w:rPr>
                <w:noProof/>
                <w:webHidden/>
              </w:rPr>
              <w:fldChar w:fldCharType="separate"/>
            </w:r>
            <w:r w:rsidR="001A5368">
              <w:rPr>
                <w:noProof/>
                <w:webHidden/>
              </w:rPr>
              <w:t>2</w:t>
            </w:r>
            <w:r w:rsidR="0071366D">
              <w:rPr>
                <w:noProof/>
                <w:webHidden/>
              </w:rPr>
              <w:fldChar w:fldCharType="end"/>
            </w:r>
          </w:hyperlink>
        </w:p>
        <w:p w:rsidR="0071366D" w:rsidRDefault="00C0499B">
          <w:pPr>
            <w:pStyle w:val="TOC1"/>
            <w:tabs>
              <w:tab w:val="left" w:pos="440"/>
              <w:tab w:val="right" w:leader="dot" w:pos="9016"/>
            </w:tabs>
            <w:rPr>
              <w:rFonts w:asciiTheme="minorHAnsi" w:eastAsiaTheme="minorEastAsia" w:hAnsiTheme="minorHAnsi" w:cstheme="minorBidi"/>
              <w:noProof/>
              <w:sz w:val="22"/>
              <w:szCs w:val="22"/>
            </w:rPr>
          </w:pPr>
          <w:hyperlink w:anchor="_Toc422482497" w:history="1">
            <w:r w:rsidR="0071366D" w:rsidRPr="001D3347">
              <w:rPr>
                <w:rStyle w:val="Hyperlink"/>
                <w:noProof/>
              </w:rPr>
              <w:t>4</w:t>
            </w:r>
            <w:r w:rsidR="0071366D">
              <w:rPr>
                <w:rFonts w:asciiTheme="minorHAnsi" w:eastAsiaTheme="minorEastAsia" w:hAnsiTheme="minorHAnsi" w:cstheme="minorBidi"/>
                <w:noProof/>
                <w:sz w:val="22"/>
                <w:szCs w:val="22"/>
              </w:rPr>
              <w:tab/>
            </w:r>
            <w:r w:rsidR="0071366D" w:rsidRPr="001D3347">
              <w:rPr>
                <w:rStyle w:val="Hyperlink"/>
                <w:noProof/>
              </w:rPr>
              <w:t>Types of Monitoring</w:t>
            </w:r>
            <w:r w:rsidR="0071366D">
              <w:rPr>
                <w:noProof/>
                <w:webHidden/>
              </w:rPr>
              <w:tab/>
            </w:r>
            <w:r w:rsidR="0071366D">
              <w:rPr>
                <w:noProof/>
                <w:webHidden/>
              </w:rPr>
              <w:fldChar w:fldCharType="begin"/>
            </w:r>
            <w:r w:rsidR="0071366D">
              <w:rPr>
                <w:noProof/>
                <w:webHidden/>
              </w:rPr>
              <w:instrText xml:space="preserve"> PAGEREF _Toc422482497 \h </w:instrText>
            </w:r>
            <w:r w:rsidR="0071366D">
              <w:rPr>
                <w:noProof/>
                <w:webHidden/>
              </w:rPr>
            </w:r>
            <w:r w:rsidR="0071366D">
              <w:rPr>
                <w:noProof/>
                <w:webHidden/>
              </w:rPr>
              <w:fldChar w:fldCharType="separate"/>
            </w:r>
            <w:r w:rsidR="001A5368">
              <w:rPr>
                <w:noProof/>
                <w:webHidden/>
              </w:rPr>
              <w:t>3</w:t>
            </w:r>
            <w:r w:rsidR="0071366D">
              <w:rPr>
                <w:noProof/>
                <w:webHidden/>
              </w:rPr>
              <w:fldChar w:fldCharType="end"/>
            </w:r>
          </w:hyperlink>
        </w:p>
        <w:p w:rsidR="0071366D" w:rsidRDefault="00C0499B" w:rsidP="00A116D3">
          <w:pPr>
            <w:pStyle w:val="TOC2"/>
            <w:rPr>
              <w:rFonts w:asciiTheme="minorHAnsi" w:eastAsiaTheme="minorEastAsia" w:hAnsiTheme="minorHAnsi" w:cstheme="minorBidi"/>
              <w:noProof/>
              <w:sz w:val="22"/>
              <w:szCs w:val="22"/>
            </w:rPr>
          </w:pPr>
          <w:hyperlink w:anchor="_Toc422482498" w:history="1">
            <w:r w:rsidR="0071366D" w:rsidRPr="001D3347">
              <w:rPr>
                <w:rStyle w:val="Hyperlink"/>
                <w:noProof/>
              </w:rPr>
              <w:t>Systematic Monitoring</w:t>
            </w:r>
            <w:r w:rsidR="0071366D">
              <w:rPr>
                <w:noProof/>
                <w:webHidden/>
              </w:rPr>
              <w:tab/>
            </w:r>
            <w:r w:rsidR="0071366D">
              <w:rPr>
                <w:noProof/>
                <w:webHidden/>
              </w:rPr>
              <w:fldChar w:fldCharType="begin"/>
            </w:r>
            <w:r w:rsidR="0071366D">
              <w:rPr>
                <w:noProof/>
                <w:webHidden/>
              </w:rPr>
              <w:instrText xml:space="preserve"> PAGEREF _Toc422482498 \h </w:instrText>
            </w:r>
            <w:r w:rsidR="0071366D">
              <w:rPr>
                <w:noProof/>
                <w:webHidden/>
              </w:rPr>
            </w:r>
            <w:r w:rsidR="0071366D">
              <w:rPr>
                <w:noProof/>
                <w:webHidden/>
              </w:rPr>
              <w:fldChar w:fldCharType="separate"/>
            </w:r>
            <w:r w:rsidR="001A5368">
              <w:rPr>
                <w:noProof/>
                <w:webHidden/>
              </w:rPr>
              <w:t>3</w:t>
            </w:r>
            <w:r w:rsidR="0071366D">
              <w:rPr>
                <w:noProof/>
                <w:webHidden/>
              </w:rPr>
              <w:fldChar w:fldCharType="end"/>
            </w:r>
          </w:hyperlink>
        </w:p>
        <w:p w:rsidR="0071366D" w:rsidRDefault="00C0499B" w:rsidP="00A116D3">
          <w:pPr>
            <w:pStyle w:val="TOC2"/>
            <w:rPr>
              <w:rFonts w:asciiTheme="minorHAnsi" w:eastAsiaTheme="minorEastAsia" w:hAnsiTheme="minorHAnsi" w:cstheme="minorBidi"/>
              <w:noProof/>
              <w:sz w:val="22"/>
              <w:szCs w:val="22"/>
            </w:rPr>
          </w:pPr>
          <w:hyperlink w:anchor="_Toc422482499" w:history="1">
            <w:r w:rsidR="0071366D" w:rsidRPr="001D3347">
              <w:rPr>
                <w:rStyle w:val="Hyperlink"/>
                <w:noProof/>
              </w:rPr>
              <w:t>Occasional Monitoring</w:t>
            </w:r>
            <w:r w:rsidR="0071366D">
              <w:rPr>
                <w:noProof/>
                <w:webHidden/>
              </w:rPr>
              <w:tab/>
            </w:r>
            <w:r w:rsidR="0071366D">
              <w:rPr>
                <w:noProof/>
                <w:webHidden/>
              </w:rPr>
              <w:fldChar w:fldCharType="begin"/>
            </w:r>
            <w:r w:rsidR="0071366D">
              <w:rPr>
                <w:noProof/>
                <w:webHidden/>
              </w:rPr>
              <w:instrText xml:space="preserve"> PAGEREF _Toc422482499 \h </w:instrText>
            </w:r>
            <w:r w:rsidR="0071366D">
              <w:rPr>
                <w:noProof/>
                <w:webHidden/>
              </w:rPr>
            </w:r>
            <w:r w:rsidR="0071366D">
              <w:rPr>
                <w:noProof/>
                <w:webHidden/>
              </w:rPr>
              <w:fldChar w:fldCharType="separate"/>
            </w:r>
            <w:r w:rsidR="001A5368">
              <w:rPr>
                <w:noProof/>
                <w:webHidden/>
              </w:rPr>
              <w:t>4</w:t>
            </w:r>
            <w:r w:rsidR="0071366D">
              <w:rPr>
                <w:noProof/>
                <w:webHidden/>
              </w:rPr>
              <w:fldChar w:fldCharType="end"/>
            </w:r>
          </w:hyperlink>
        </w:p>
        <w:p w:rsidR="0071366D" w:rsidRDefault="00C0499B">
          <w:pPr>
            <w:pStyle w:val="TOC1"/>
            <w:tabs>
              <w:tab w:val="left" w:pos="440"/>
              <w:tab w:val="right" w:leader="dot" w:pos="9016"/>
            </w:tabs>
            <w:rPr>
              <w:rFonts w:asciiTheme="minorHAnsi" w:eastAsiaTheme="minorEastAsia" w:hAnsiTheme="minorHAnsi" w:cstheme="minorBidi"/>
              <w:noProof/>
              <w:sz w:val="22"/>
              <w:szCs w:val="22"/>
            </w:rPr>
          </w:pPr>
          <w:hyperlink w:anchor="_Toc422482500" w:history="1">
            <w:r w:rsidR="0071366D" w:rsidRPr="001D3347">
              <w:rPr>
                <w:rStyle w:val="Hyperlink"/>
                <w:noProof/>
              </w:rPr>
              <w:t>5</w:t>
            </w:r>
            <w:r w:rsidR="0071366D">
              <w:rPr>
                <w:rFonts w:asciiTheme="minorHAnsi" w:eastAsiaTheme="minorEastAsia" w:hAnsiTheme="minorHAnsi" w:cstheme="minorBidi"/>
                <w:noProof/>
                <w:sz w:val="22"/>
                <w:szCs w:val="22"/>
              </w:rPr>
              <w:tab/>
            </w:r>
            <w:r w:rsidR="0071366D" w:rsidRPr="001D3347">
              <w:rPr>
                <w:rStyle w:val="Hyperlink"/>
                <w:noProof/>
              </w:rPr>
              <w:t>Monitoring Tools</w:t>
            </w:r>
            <w:r w:rsidR="0071366D">
              <w:rPr>
                <w:noProof/>
                <w:webHidden/>
              </w:rPr>
              <w:tab/>
            </w:r>
            <w:r w:rsidR="0071366D">
              <w:rPr>
                <w:noProof/>
                <w:webHidden/>
              </w:rPr>
              <w:fldChar w:fldCharType="begin"/>
            </w:r>
            <w:r w:rsidR="0071366D">
              <w:rPr>
                <w:noProof/>
                <w:webHidden/>
              </w:rPr>
              <w:instrText xml:space="preserve"> PAGEREF _Toc422482500 \h </w:instrText>
            </w:r>
            <w:r w:rsidR="0071366D">
              <w:rPr>
                <w:noProof/>
                <w:webHidden/>
              </w:rPr>
            </w:r>
            <w:r w:rsidR="0071366D">
              <w:rPr>
                <w:noProof/>
                <w:webHidden/>
              </w:rPr>
              <w:fldChar w:fldCharType="separate"/>
            </w:r>
            <w:r w:rsidR="001A5368">
              <w:rPr>
                <w:noProof/>
                <w:webHidden/>
              </w:rPr>
              <w:t>4</w:t>
            </w:r>
            <w:r w:rsidR="0071366D">
              <w:rPr>
                <w:noProof/>
                <w:webHidden/>
              </w:rPr>
              <w:fldChar w:fldCharType="end"/>
            </w:r>
          </w:hyperlink>
        </w:p>
        <w:p w:rsidR="0071366D" w:rsidRDefault="00C0499B">
          <w:pPr>
            <w:pStyle w:val="TOC1"/>
            <w:tabs>
              <w:tab w:val="left" w:pos="440"/>
              <w:tab w:val="right" w:leader="dot" w:pos="9016"/>
            </w:tabs>
            <w:rPr>
              <w:rFonts w:asciiTheme="minorHAnsi" w:eastAsiaTheme="minorEastAsia" w:hAnsiTheme="minorHAnsi" w:cstheme="minorBidi"/>
              <w:noProof/>
              <w:sz w:val="22"/>
              <w:szCs w:val="22"/>
            </w:rPr>
          </w:pPr>
          <w:hyperlink w:anchor="_Toc422482501" w:history="1">
            <w:r w:rsidR="0071366D" w:rsidRPr="001D3347">
              <w:rPr>
                <w:rStyle w:val="Hyperlink"/>
                <w:noProof/>
              </w:rPr>
              <w:t>6</w:t>
            </w:r>
            <w:r w:rsidR="0071366D">
              <w:rPr>
                <w:rFonts w:asciiTheme="minorHAnsi" w:eastAsiaTheme="minorEastAsia" w:hAnsiTheme="minorHAnsi" w:cstheme="minorBidi"/>
                <w:noProof/>
                <w:sz w:val="22"/>
                <w:szCs w:val="22"/>
              </w:rPr>
              <w:tab/>
            </w:r>
            <w:r w:rsidR="0071366D" w:rsidRPr="001D3347">
              <w:rPr>
                <w:rStyle w:val="Hyperlink"/>
                <w:noProof/>
              </w:rPr>
              <w:t>Authority and Process for Monitoring</w:t>
            </w:r>
            <w:r w:rsidR="0071366D">
              <w:rPr>
                <w:noProof/>
                <w:webHidden/>
              </w:rPr>
              <w:tab/>
            </w:r>
            <w:r w:rsidR="0071366D">
              <w:rPr>
                <w:noProof/>
                <w:webHidden/>
              </w:rPr>
              <w:fldChar w:fldCharType="begin"/>
            </w:r>
            <w:r w:rsidR="0071366D">
              <w:rPr>
                <w:noProof/>
                <w:webHidden/>
              </w:rPr>
              <w:instrText xml:space="preserve"> PAGEREF _Toc422482501 \h </w:instrText>
            </w:r>
            <w:r w:rsidR="0071366D">
              <w:rPr>
                <w:noProof/>
                <w:webHidden/>
              </w:rPr>
            </w:r>
            <w:r w:rsidR="0071366D">
              <w:rPr>
                <w:noProof/>
                <w:webHidden/>
              </w:rPr>
              <w:fldChar w:fldCharType="separate"/>
            </w:r>
            <w:r w:rsidR="001A5368">
              <w:rPr>
                <w:noProof/>
                <w:webHidden/>
              </w:rPr>
              <w:t>4</w:t>
            </w:r>
            <w:r w:rsidR="0071366D">
              <w:rPr>
                <w:noProof/>
                <w:webHidden/>
              </w:rPr>
              <w:fldChar w:fldCharType="end"/>
            </w:r>
          </w:hyperlink>
        </w:p>
        <w:p w:rsidR="0071366D" w:rsidRDefault="00C0499B">
          <w:pPr>
            <w:pStyle w:val="TOC1"/>
            <w:tabs>
              <w:tab w:val="left" w:pos="440"/>
              <w:tab w:val="right" w:leader="dot" w:pos="9016"/>
            </w:tabs>
            <w:rPr>
              <w:rFonts w:asciiTheme="minorHAnsi" w:eastAsiaTheme="minorEastAsia" w:hAnsiTheme="minorHAnsi" w:cstheme="minorBidi"/>
              <w:noProof/>
              <w:sz w:val="22"/>
              <w:szCs w:val="22"/>
            </w:rPr>
          </w:pPr>
          <w:hyperlink w:anchor="_Toc422482502" w:history="1">
            <w:r w:rsidR="0071366D" w:rsidRPr="001D3347">
              <w:rPr>
                <w:rStyle w:val="Hyperlink"/>
                <w:noProof/>
              </w:rPr>
              <w:t>7</w:t>
            </w:r>
            <w:r w:rsidR="0071366D">
              <w:rPr>
                <w:rFonts w:asciiTheme="minorHAnsi" w:eastAsiaTheme="minorEastAsia" w:hAnsiTheme="minorHAnsi" w:cstheme="minorBidi"/>
                <w:noProof/>
                <w:sz w:val="22"/>
                <w:szCs w:val="22"/>
              </w:rPr>
              <w:tab/>
            </w:r>
            <w:r w:rsidR="0071366D" w:rsidRPr="001D3347">
              <w:rPr>
                <w:rStyle w:val="Hyperlink"/>
                <w:noProof/>
              </w:rPr>
              <w:t>Data Protection/Privacy</w:t>
            </w:r>
            <w:r w:rsidR="0071366D">
              <w:rPr>
                <w:noProof/>
                <w:webHidden/>
              </w:rPr>
              <w:tab/>
            </w:r>
            <w:r w:rsidR="0071366D">
              <w:rPr>
                <w:noProof/>
                <w:webHidden/>
              </w:rPr>
              <w:fldChar w:fldCharType="begin"/>
            </w:r>
            <w:r w:rsidR="0071366D">
              <w:rPr>
                <w:noProof/>
                <w:webHidden/>
              </w:rPr>
              <w:instrText xml:space="preserve"> PAGEREF _Toc422482502 \h </w:instrText>
            </w:r>
            <w:r w:rsidR="0071366D">
              <w:rPr>
                <w:noProof/>
                <w:webHidden/>
              </w:rPr>
            </w:r>
            <w:r w:rsidR="0071366D">
              <w:rPr>
                <w:noProof/>
                <w:webHidden/>
              </w:rPr>
              <w:fldChar w:fldCharType="separate"/>
            </w:r>
            <w:r w:rsidR="001A5368">
              <w:rPr>
                <w:noProof/>
                <w:webHidden/>
              </w:rPr>
              <w:t>5</w:t>
            </w:r>
            <w:r w:rsidR="0071366D">
              <w:rPr>
                <w:noProof/>
                <w:webHidden/>
              </w:rPr>
              <w:fldChar w:fldCharType="end"/>
            </w:r>
          </w:hyperlink>
        </w:p>
        <w:p w:rsidR="0071366D" w:rsidRDefault="00C0499B">
          <w:pPr>
            <w:pStyle w:val="TOC1"/>
            <w:tabs>
              <w:tab w:val="left" w:pos="440"/>
              <w:tab w:val="right" w:leader="dot" w:pos="9016"/>
            </w:tabs>
            <w:rPr>
              <w:rFonts w:asciiTheme="minorHAnsi" w:eastAsiaTheme="minorEastAsia" w:hAnsiTheme="minorHAnsi" w:cstheme="minorBidi"/>
              <w:noProof/>
              <w:sz w:val="22"/>
              <w:szCs w:val="22"/>
            </w:rPr>
          </w:pPr>
          <w:hyperlink w:anchor="_Toc422482503" w:history="1">
            <w:r w:rsidR="0071366D" w:rsidRPr="001D3347">
              <w:rPr>
                <w:rStyle w:val="Hyperlink"/>
                <w:noProof/>
              </w:rPr>
              <w:t>8</w:t>
            </w:r>
            <w:r w:rsidR="0071366D">
              <w:rPr>
                <w:rFonts w:asciiTheme="minorHAnsi" w:eastAsiaTheme="minorEastAsia" w:hAnsiTheme="minorHAnsi" w:cstheme="minorBidi"/>
                <w:noProof/>
                <w:sz w:val="22"/>
                <w:szCs w:val="22"/>
              </w:rPr>
              <w:tab/>
            </w:r>
            <w:r w:rsidR="0071366D" w:rsidRPr="001D3347">
              <w:rPr>
                <w:rStyle w:val="Hyperlink"/>
                <w:noProof/>
              </w:rPr>
              <w:t>Related Policies</w:t>
            </w:r>
            <w:r w:rsidR="0071366D">
              <w:rPr>
                <w:noProof/>
                <w:webHidden/>
              </w:rPr>
              <w:tab/>
            </w:r>
            <w:r w:rsidR="0071366D">
              <w:rPr>
                <w:noProof/>
                <w:webHidden/>
              </w:rPr>
              <w:fldChar w:fldCharType="begin"/>
            </w:r>
            <w:r w:rsidR="0071366D">
              <w:rPr>
                <w:noProof/>
                <w:webHidden/>
              </w:rPr>
              <w:instrText xml:space="preserve"> PAGEREF _Toc422482503 \h </w:instrText>
            </w:r>
            <w:r w:rsidR="0071366D">
              <w:rPr>
                <w:noProof/>
                <w:webHidden/>
              </w:rPr>
            </w:r>
            <w:r w:rsidR="0071366D">
              <w:rPr>
                <w:noProof/>
                <w:webHidden/>
              </w:rPr>
              <w:fldChar w:fldCharType="separate"/>
            </w:r>
            <w:r w:rsidR="001A5368">
              <w:rPr>
                <w:noProof/>
                <w:webHidden/>
              </w:rPr>
              <w:t>5</w:t>
            </w:r>
            <w:r w:rsidR="0071366D">
              <w:rPr>
                <w:noProof/>
                <w:webHidden/>
              </w:rPr>
              <w:fldChar w:fldCharType="end"/>
            </w:r>
          </w:hyperlink>
        </w:p>
        <w:p w:rsidR="0071366D" w:rsidRDefault="00C0499B">
          <w:pPr>
            <w:pStyle w:val="TOC1"/>
            <w:tabs>
              <w:tab w:val="left" w:pos="440"/>
              <w:tab w:val="right" w:leader="dot" w:pos="9016"/>
            </w:tabs>
            <w:rPr>
              <w:rFonts w:asciiTheme="minorHAnsi" w:eastAsiaTheme="minorEastAsia" w:hAnsiTheme="minorHAnsi" w:cstheme="minorBidi"/>
              <w:noProof/>
              <w:sz w:val="22"/>
              <w:szCs w:val="22"/>
            </w:rPr>
          </w:pPr>
          <w:hyperlink w:anchor="_Toc422482504" w:history="1">
            <w:r w:rsidR="0071366D" w:rsidRPr="001D3347">
              <w:rPr>
                <w:rStyle w:val="Hyperlink"/>
                <w:noProof/>
              </w:rPr>
              <w:t>9</w:t>
            </w:r>
            <w:r w:rsidR="0071366D">
              <w:rPr>
                <w:rFonts w:asciiTheme="minorHAnsi" w:eastAsiaTheme="minorEastAsia" w:hAnsiTheme="minorHAnsi" w:cstheme="minorBidi"/>
                <w:noProof/>
                <w:sz w:val="22"/>
                <w:szCs w:val="22"/>
              </w:rPr>
              <w:tab/>
            </w:r>
            <w:r w:rsidR="0071366D" w:rsidRPr="001D3347">
              <w:rPr>
                <w:rStyle w:val="Hyperlink"/>
                <w:noProof/>
              </w:rPr>
              <w:t>Review</w:t>
            </w:r>
            <w:r w:rsidR="0071366D">
              <w:rPr>
                <w:noProof/>
                <w:webHidden/>
              </w:rPr>
              <w:tab/>
            </w:r>
            <w:r w:rsidR="0071366D">
              <w:rPr>
                <w:noProof/>
                <w:webHidden/>
              </w:rPr>
              <w:fldChar w:fldCharType="begin"/>
            </w:r>
            <w:r w:rsidR="0071366D">
              <w:rPr>
                <w:noProof/>
                <w:webHidden/>
              </w:rPr>
              <w:instrText xml:space="preserve"> PAGEREF _Toc422482504 \h </w:instrText>
            </w:r>
            <w:r w:rsidR="0071366D">
              <w:rPr>
                <w:noProof/>
                <w:webHidden/>
              </w:rPr>
            </w:r>
            <w:r w:rsidR="0071366D">
              <w:rPr>
                <w:noProof/>
                <w:webHidden/>
              </w:rPr>
              <w:fldChar w:fldCharType="separate"/>
            </w:r>
            <w:r w:rsidR="001A5368">
              <w:rPr>
                <w:noProof/>
                <w:webHidden/>
              </w:rPr>
              <w:t>6</w:t>
            </w:r>
            <w:r w:rsidR="0071366D">
              <w:rPr>
                <w:noProof/>
                <w:webHidden/>
              </w:rPr>
              <w:fldChar w:fldCharType="end"/>
            </w:r>
          </w:hyperlink>
        </w:p>
        <w:p w:rsidR="007E6C3F" w:rsidRDefault="007E6C3F" w:rsidP="007E6C3F">
          <w:pPr>
            <w:rPr>
              <w:rFonts w:cs="Arial"/>
              <w:b/>
              <w:bCs/>
              <w:noProof/>
            </w:rPr>
          </w:pPr>
          <w:r w:rsidRPr="005856D9">
            <w:rPr>
              <w:rFonts w:cs="Arial"/>
              <w:b/>
              <w:bCs/>
              <w:noProof/>
            </w:rPr>
            <w:fldChar w:fldCharType="end"/>
          </w:r>
        </w:p>
      </w:sdtContent>
    </w:sdt>
    <w:p w:rsidR="007E6C3F" w:rsidRDefault="007E6C3F" w:rsidP="007E6C3F">
      <w:pPr>
        <w:rPr>
          <w:rFonts w:cs="Arial"/>
          <w:b/>
        </w:rPr>
      </w:pPr>
    </w:p>
    <w:p w:rsidR="007E6C3F" w:rsidRDefault="00C1098E" w:rsidP="00C1098E">
      <w:pPr>
        <w:tabs>
          <w:tab w:val="left" w:pos="6285"/>
        </w:tabs>
        <w:rPr>
          <w:rFonts w:cs="Arial"/>
          <w:b/>
        </w:rPr>
      </w:pPr>
      <w:r>
        <w:rPr>
          <w:rFonts w:cs="Arial"/>
          <w:b/>
        </w:rPr>
        <w:tab/>
      </w:r>
    </w:p>
    <w:p w:rsidR="007E6C3F" w:rsidRDefault="007E6C3F" w:rsidP="00F869DC">
      <w:pPr>
        <w:jc w:val="center"/>
        <w:rPr>
          <w:rFonts w:cs="Arial"/>
          <w:b/>
        </w:rPr>
      </w:pPr>
    </w:p>
    <w:p w:rsidR="007E6C3F" w:rsidRDefault="007E6C3F" w:rsidP="00F869DC">
      <w:pPr>
        <w:jc w:val="center"/>
        <w:rPr>
          <w:rFonts w:cs="Arial"/>
          <w:b/>
        </w:rPr>
      </w:pPr>
    </w:p>
    <w:p w:rsidR="007E6C3F" w:rsidRDefault="007E6C3F" w:rsidP="00F869DC">
      <w:pPr>
        <w:jc w:val="center"/>
        <w:rPr>
          <w:rFonts w:cs="Arial"/>
          <w:b/>
        </w:rPr>
      </w:pPr>
    </w:p>
    <w:p w:rsidR="007E6C3F" w:rsidRDefault="007E6C3F" w:rsidP="00F869DC">
      <w:pPr>
        <w:jc w:val="center"/>
        <w:rPr>
          <w:rFonts w:cs="Arial"/>
          <w:b/>
        </w:rPr>
      </w:pPr>
    </w:p>
    <w:p w:rsidR="007E6C3F" w:rsidRDefault="007E6C3F" w:rsidP="00F869DC">
      <w:pPr>
        <w:jc w:val="center"/>
        <w:rPr>
          <w:rFonts w:cs="Arial"/>
          <w:b/>
        </w:rPr>
      </w:pPr>
    </w:p>
    <w:p w:rsidR="007E6C3F" w:rsidRDefault="007E6C3F" w:rsidP="00F869DC">
      <w:pPr>
        <w:jc w:val="center"/>
        <w:rPr>
          <w:rFonts w:cs="Arial"/>
          <w:b/>
        </w:rPr>
      </w:pPr>
    </w:p>
    <w:p w:rsidR="007E6C3F" w:rsidRDefault="007E6C3F" w:rsidP="00F869DC">
      <w:pPr>
        <w:jc w:val="center"/>
        <w:rPr>
          <w:rFonts w:cs="Arial"/>
          <w:b/>
        </w:rPr>
      </w:pPr>
    </w:p>
    <w:p w:rsidR="007E6C3F" w:rsidRDefault="007E6C3F" w:rsidP="007E6C3F">
      <w:pPr>
        <w:rPr>
          <w:rFonts w:cs="Arial"/>
          <w:b/>
        </w:rPr>
      </w:pPr>
    </w:p>
    <w:p w:rsidR="00F869DC" w:rsidRDefault="00F869DC" w:rsidP="00F869DC">
      <w:pPr>
        <w:jc w:val="center"/>
        <w:rPr>
          <w:rFonts w:cs="Arial"/>
          <w:b/>
        </w:rPr>
      </w:pPr>
    </w:p>
    <w:p w:rsidR="007E6C3F" w:rsidRDefault="00F869DC" w:rsidP="007E6C3F">
      <w:pPr>
        <w:rPr>
          <w:rFonts w:cs="Arial"/>
        </w:rPr>
      </w:pPr>
      <w:r>
        <w:rPr>
          <w:rFonts w:cs="Arial"/>
        </w:rPr>
        <w:br w:type="page"/>
      </w:r>
    </w:p>
    <w:p w:rsidR="007E6C3F" w:rsidRPr="007E6C3F" w:rsidRDefault="007E6C3F" w:rsidP="007E6C3F">
      <w:pPr>
        <w:jc w:val="center"/>
        <w:rPr>
          <w:rFonts w:cs="Arial"/>
          <w:b/>
        </w:rPr>
      </w:pPr>
      <w:r w:rsidRPr="007E6C3F">
        <w:rPr>
          <w:rFonts w:cs="Arial"/>
          <w:b/>
        </w:rPr>
        <w:lastRenderedPageBreak/>
        <w:t>EMPLOYEE DATA MONITORING POLICY</w:t>
      </w:r>
    </w:p>
    <w:p w:rsidR="00DD435D" w:rsidRDefault="00F869DC" w:rsidP="00DD435D">
      <w:pPr>
        <w:pStyle w:val="Heading1"/>
        <w:numPr>
          <w:ilvl w:val="0"/>
          <w:numId w:val="4"/>
        </w:numPr>
        <w:ind w:hanging="720"/>
      </w:pPr>
      <w:bookmarkStart w:id="1" w:name="_Toc422482494"/>
      <w:r w:rsidRPr="00F869DC">
        <w:t>Introduction</w:t>
      </w:r>
      <w:bookmarkEnd w:id="1"/>
      <w:r w:rsidR="007E6C3F">
        <w:t xml:space="preserve"> </w:t>
      </w:r>
    </w:p>
    <w:p w:rsidR="005856D9" w:rsidRPr="005856D9" w:rsidRDefault="005856D9" w:rsidP="005856D9"/>
    <w:p w:rsidR="0048364A" w:rsidRDefault="00390198" w:rsidP="005856D9">
      <w:pPr>
        <w:pStyle w:val="ListParagraph"/>
        <w:numPr>
          <w:ilvl w:val="1"/>
          <w:numId w:val="4"/>
        </w:numPr>
        <w:ind w:left="709" w:hanging="709"/>
      </w:pPr>
      <w:r w:rsidRPr="005856D9">
        <w:t>This policy sets out the Council’s approach to monitoring employees</w:t>
      </w:r>
      <w:r w:rsidR="00770847" w:rsidRPr="00770847">
        <w:t xml:space="preserve"> </w:t>
      </w:r>
      <w:r w:rsidR="00770847">
        <w:t>for the purposes of openness and transparency</w:t>
      </w:r>
      <w:r w:rsidRPr="005856D9">
        <w:t xml:space="preserve">. </w:t>
      </w:r>
      <w:r w:rsidR="000175E9">
        <w:t xml:space="preserve">It brings together a number of arrangements that are </w:t>
      </w:r>
      <w:r w:rsidR="008F4B29">
        <w:t xml:space="preserve">already </w:t>
      </w:r>
      <w:r w:rsidR="000175E9">
        <w:t>in place.</w:t>
      </w:r>
      <w:r w:rsidR="009036DE">
        <w:t xml:space="preserve"> </w:t>
      </w:r>
    </w:p>
    <w:p w:rsidR="0028752A" w:rsidRDefault="0028752A" w:rsidP="00DC0C75">
      <w:pPr>
        <w:pStyle w:val="ListParagraph"/>
        <w:ind w:left="709"/>
      </w:pPr>
    </w:p>
    <w:p w:rsidR="0028752A" w:rsidRPr="005856D9" w:rsidRDefault="00770847" w:rsidP="0028752A">
      <w:pPr>
        <w:pStyle w:val="ListParagraph"/>
        <w:numPr>
          <w:ilvl w:val="1"/>
          <w:numId w:val="4"/>
        </w:numPr>
        <w:ind w:left="709" w:hanging="709"/>
      </w:pPr>
      <w:r>
        <w:t>T</w:t>
      </w:r>
      <w:r w:rsidR="0028752A">
        <w:t>h</w:t>
      </w:r>
      <w:r>
        <w:t>e</w:t>
      </w:r>
      <w:r w:rsidR="0028752A">
        <w:t xml:space="preserve"> policy </w:t>
      </w:r>
      <w:r>
        <w:t xml:space="preserve">sets out </w:t>
      </w:r>
      <w:r w:rsidR="0028752A">
        <w:t>the framework of monitoring across the Council clarifying how, when and why monitoring is carried out and providing employees with a regularly updated list of monitoring tools.</w:t>
      </w:r>
    </w:p>
    <w:p w:rsidR="00390198" w:rsidRDefault="00390198" w:rsidP="005856D9">
      <w:pPr>
        <w:ind w:left="709" w:hanging="709"/>
        <w:rPr>
          <w:rFonts w:cs="Arial"/>
        </w:rPr>
      </w:pPr>
    </w:p>
    <w:p w:rsidR="009036DE" w:rsidRDefault="00DC0C75" w:rsidP="00DC0C75">
      <w:pPr>
        <w:ind w:left="709" w:hanging="709"/>
      </w:pPr>
      <w:r>
        <w:t>1.3</w:t>
      </w:r>
      <w:r>
        <w:tab/>
      </w:r>
      <w:r w:rsidR="00390198" w:rsidRPr="005856D9">
        <w:t xml:space="preserve">The Council recognises that employees have legitimate expectations of reasonable privacy and as monitoring has the capacity to intrude or interfere in employee’s private lives it must be justified. </w:t>
      </w:r>
      <w:r w:rsidR="001232BF">
        <w:t>Monitoring tools will be reviewed to ensure that the benefits of monitoring are justified taking into account the impacts it may have.</w:t>
      </w:r>
    </w:p>
    <w:p w:rsidR="00390198" w:rsidRDefault="00390198" w:rsidP="005856D9">
      <w:pPr>
        <w:ind w:left="709" w:hanging="709"/>
        <w:rPr>
          <w:rFonts w:cs="Arial"/>
        </w:rPr>
      </w:pPr>
    </w:p>
    <w:p w:rsidR="0048364A" w:rsidRPr="005856D9" w:rsidRDefault="0048364A" w:rsidP="00DC0C75">
      <w:pPr>
        <w:pStyle w:val="ListParagraph"/>
        <w:numPr>
          <w:ilvl w:val="1"/>
          <w:numId w:val="19"/>
        </w:numPr>
        <w:ind w:left="709" w:hanging="709"/>
      </w:pPr>
      <w:r w:rsidRPr="005856D9">
        <w:t>Monitoring is a necessary part of the employment relationship</w:t>
      </w:r>
      <w:r w:rsidR="00B10044">
        <w:t xml:space="preserve"> including health and safety</w:t>
      </w:r>
      <w:r w:rsidR="00390198" w:rsidRPr="005856D9">
        <w:t xml:space="preserve">. It </w:t>
      </w:r>
      <w:r w:rsidRPr="005856D9">
        <w:t xml:space="preserve">is also a necessary part of crime or fraud detection and to ensure that the Council’s property, facilities, and </w:t>
      </w:r>
      <w:r w:rsidR="008F4B29">
        <w:t xml:space="preserve">assets including </w:t>
      </w:r>
      <w:r w:rsidRPr="005856D9">
        <w:t>information technology systems are used appropriately.</w:t>
      </w:r>
    </w:p>
    <w:p w:rsidR="00390198" w:rsidRDefault="00390198" w:rsidP="005856D9">
      <w:pPr>
        <w:ind w:left="709" w:hanging="709"/>
        <w:rPr>
          <w:rFonts w:cs="Arial"/>
        </w:rPr>
      </w:pPr>
    </w:p>
    <w:p w:rsidR="005856D9" w:rsidRDefault="00390198" w:rsidP="00DC0C75">
      <w:pPr>
        <w:pStyle w:val="ListParagraph"/>
        <w:numPr>
          <w:ilvl w:val="1"/>
          <w:numId w:val="19"/>
        </w:numPr>
        <w:ind w:left="709" w:hanging="709"/>
      </w:pPr>
      <w:r w:rsidRPr="005856D9">
        <w:t>Th</w:t>
      </w:r>
      <w:r w:rsidR="00715168">
        <w:t>e</w:t>
      </w:r>
      <w:r w:rsidRPr="005856D9">
        <w:t xml:space="preserve"> policy se</w:t>
      </w:r>
      <w:r w:rsidR="00715168">
        <w:t>eks</w:t>
      </w:r>
      <w:r w:rsidRPr="005856D9">
        <w:t xml:space="preserve"> </w:t>
      </w:r>
      <w:r w:rsidR="005B3739">
        <w:t xml:space="preserve">to </w:t>
      </w:r>
      <w:r w:rsidR="005856D9" w:rsidRPr="005856D9">
        <w:t xml:space="preserve">make employees aware of </w:t>
      </w:r>
      <w:r w:rsidR="000A7556">
        <w:t xml:space="preserve">what data </w:t>
      </w:r>
      <w:r w:rsidR="001232BF">
        <w:t>the</w:t>
      </w:r>
      <w:r w:rsidRPr="005856D9">
        <w:t xml:space="preserve"> Council may </w:t>
      </w:r>
      <w:r w:rsidR="000A7556">
        <w:t>monitor</w:t>
      </w:r>
      <w:r w:rsidR="005856D9" w:rsidRPr="005856D9">
        <w:t xml:space="preserve">, how it may be </w:t>
      </w:r>
      <w:r w:rsidR="000A7556">
        <w:t>monitored</w:t>
      </w:r>
      <w:r w:rsidRPr="005856D9">
        <w:t xml:space="preserve"> and the purposes for carrying out that monitoring. This policy complies with the principles </w:t>
      </w:r>
      <w:r w:rsidR="000338EA">
        <w:t>of the Data Protection Act 1998 and the Information Com</w:t>
      </w:r>
      <w:r w:rsidR="002F61F6">
        <w:t xml:space="preserve">missioner’s Code of Practice on </w:t>
      </w:r>
      <w:r w:rsidR="000338EA">
        <w:t>Monitoring at Work.</w:t>
      </w:r>
    </w:p>
    <w:p w:rsidR="005856D9" w:rsidRPr="000E6F29" w:rsidRDefault="005856D9" w:rsidP="00347F7B">
      <w:pPr>
        <w:pStyle w:val="Heading1"/>
        <w:numPr>
          <w:ilvl w:val="0"/>
          <w:numId w:val="19"/>
        </w:numPr>
        <w:ind w:left="709" w:hanging="709"/>
      </w:pPr>
      <w:bookmarkStart w:id="2" w:name="_Toc422482495"/>
      <w:r w:rsidRPr="000E6F29">
        <w:t>S</w:t>
      </w:r>
      <w:r w:rsidR="002754A9" w:rsidRPr="000E6F29">
        <w:t>co</w:t>
      </w:r>
      <w:r w:rsidR="00DD435D" w:rsidRPr="000E6F29">
        <w:t>pe/</w:t>
      </w:r>
      <w:r w:rsidR="00AE53CD" w:rsidRPr="000E6F29">
        <w:t>Who is covered by this Policy?</w:t>
      </w:r>
      <w:bookmarkEnd w:id="2"/>
    </w:p>
    <w:p w:rsidR="006F6C6B" w:rsidRPr="000E6F29" w:rsidRDefault="006F6C6B" w:rsidP="006F6C6B"/>
    <w:p w:rsidR="002F61F6" w:rsidRDefault="002F61F6" w:rsidP="002F61F6">
      <w:pPr>
        <w:ind w:left="720"/>
        <w:rPr>
          <w:rFonts w:cs="Arial"/>
        </w:rPr>
      </w:pPr>
      <w:r w:rsidRPr="000E6F29">
        <w:rPr>
          <w:rFonts w:cs="Arial"/>
        </w:rPr>
        <w:t xml:space="preserve">This policy applies to all employees, agency workers, contractors and volunteers.   </w:t>
      </w:r>
    </w:p>
    <w:p w:rsidR="00347F7B" w:rsidRDefault="00347F7B" w:rsidP="00347F7B">
      <w:pPr>
        <w:pStyle w:val="Heading1"/>
        <w:numPr>
          <w:ilvl w:val="0"/>
          <w:numId w:val="19"/>
        </w:numPr>
        <w:ind w:left="709" w:hanging="709"/>
        <w:rPr>
          <w:rFonts w:cs="Arial"/>
        </w:rPr>
      </w:pPr>
      <w:bookmarkStart w:id="3" w:name="_Toc422482496"/>
      <w:r w:rsidRPr="002540B5">
        <w:rPr>
          <w:rFonts w:cs="Arial"/>
        </w:rPr>
        <w:t>Monitoring Purposes</w:t>
      </w:r>
      <w:bookmarkEnd w:id="3"/>
    </w:p>
    <w:p w:rsidR="00347F7B" w:rsidRDefault="00347F7B" w:rsidP="00347F7B"/>
    <w:p w:rsidR="00347F7B" w:rsidRDefault="00347F7B" w:rsidP="003A2A0A">
      <w:pPr>
        <w:ind w:left="709" w:hanging="709"/>
        <w:rPr>
          <w:rFonts w:cs="Arial"/>
        </w:rPr>
      </w:pPr>
      <w:r>
        <w:t>3.1</w:t>
      </w:r>
      <w:r>
        <w:tab/>
        <w:t xml:space="preserve">Systematic or occasional (including covert) </w:t>
      </w:r>
      <w:r>
        <w:rPr>
          <w:rFonts w:cs="Arial"/>
        </w:rPr>
        <w:t>m</w:t>
      </w:r>
      <w:r w:rsidRPr="009816C5">
        <w:rPr>
          <w:rFonts w:cs="Arial"/>
        </w:rPr>
        <w:t>onitoring may be undertaken for the following purposes:-</w:t>
      </w:r>
    </w:p>
    <w:p w:rsidR="00347F7B" w:rsidRPr="009816C5" w:rsidRDefault="00347F7B" w:rsidP="00347F7B">
      <w:pPr>
        <w:ind w:left="360"/>
        <w:rPr>
          <w:rFonts w:cs="Arial"/>
        </w:rPr>
      </w:pPr>
    </w:p>
    <w:p w:rsidR="00347F7B" w:rsidRPr="002E476E" w:rsidRDefault="00347F7B" w:rsidP="00347F7B">
      <w:pPr>
        <w:pStyle w:val="ListParagraph"/>
        <w:numPr>
          <w:ilvl w:val="0"/>
          <w:numId w:val="16"/>
        </w:numPr>
        <w:ind w:left="1134" w:hanging="425"/>
        <w:contextualSpacing/>
      </w:pPr>
      <w:r w:rsidRPr="002E476E">
        <w:t>Prevention or detection of crime</w:t>
      </w:r>
      <w:r>
        <w:t>,</w:t>
      </w:r>
      <w:r w:rsidRPr="002E476E">
        <w:t xml:space="preserve"> disorder and fraud</w:t>
      </w:r>
    </w:p>
    <w:p w:rsidR="00347F7B" w:rsidRDefault="00347F7B" w:rsidP="00347F7B">
      <w:pPr>
        <w:pStyle w:val="ListParagraph"/>
        <w:numPr>
          <w:ilvl w:val="0"/>
          <w:numId w:val="16"/>
        </w:numPr>
        <w:ind w:left="1134" w:hanging="425"/>
        <w:contextualSpacing/>
      </w:pPr>
      <w:r w:rsidRPr="002E476E">
        <w:t>Apprehension and prosecution of offenders</w:t>
      </w:r>
    </w:p>
    <w:p w:rsidR="00347F7B" w:rsidRPr="002E476E" w:rsidRDefault="00347F7B" w:rsidP="00347F7B">
      <w:pPr>
        <w:pStyle w:val="ListParagraph"/>
        <w:numPr>
          <w:ilvl w:val="0"/>
          <w:numId w:val="16"/>
        </w:numPr>
        <w:ind w:left="1134" w:hanging="425"/>
        <w:contextualSpacing/>
      </w:pPr>
      <w:r>
        <w:t>Unauthorised or inappropriate system use</w:t>
      </w:r>
    </w:p>
    <w:p w:rsidR="00347F7B" w:rsidRPr="002E476E" w:rsidRDefault="00347F7B" w:rsidP="00347F7B">
      <w:pPr>
        <w:pStyle w:val="ListParagraph"/>
        <w:numPr>
          <w:ilvl w:val="0"/>
          <w:numId w:val="16"/>
        </w:numPr>
        <w:ind w:left="1134" w:hanging="425"/>
        <w:contextualSpacing/>
      </w:pPr>
      <w:r w:rsidRPr="002E476E">
        <w:t>Interest of public and employee safety</w:t>
      </w:r>
    </w:p>
    <w:p w:rsidR="00347F7B" w:rsidRPr="002E476E" w:rsidRDefault="00347F7B" w:rsidP="00347F7B">
      <w:pPr>
        <w:pStyle w:val="ListParagraph"/>
        <w:numPr>
          <w:ilvl w:val="0"/>
          <w:numId w:val="16"/>
        </w:numPr>
        <w:ind w:left="1134" w:hanging="425"/>
      </w:pPr>
      <w:r w:rsidRPr="002E476E">
        <w:t>Protection of council property and assets</w:t>
      </w:r>
    </w:p>
    <w:p w:rsidR="00347F7B" w:rsidRPr="002E476E" w:rsidRDefault="00347F7B" w:rsidP="00347F7B">
      <w:pPr>
        <w:pStyle w:val="ListParagraph"/>
        <w:numPr>
          <w:ilvl w:val="0"/>
          <w:numId w:val="16"/>
        </w:numPr>
        <w:ind w:left="1134" w:hanging="425"/>
      </w:pPr>
      <w:r>
        <w:t>P</w:t>
      </w:r>
      <w:r w:rsidRPr="002E476E">
        <w:t>erformance</w:t>
      </w:r>
      <w:r>
        <w:t xml:space="preserve"> (to achieve improvements)</w:t>
      </w:r>
    </w:p>
    <w:p w:rsidR="00347F7B" w:rsidRDefault="00347F7B" w:rsidP="00347F7B">
      <w:pPr>
        <w:pStyle w:val="ListParagraph"/>
        <w:numPr>
          <w:ilvl w:val="0"/>
          <w:numId w:val="16"/>
        </w:numPr>
        <w:ind w:left="1134" w:hanging="425"/>
      </w:pPr>
      <w:r w:rsidRPr="002E476E">
        <w:t>Training</w:t>
      </w:r>
      <w:r>
        <w:t xml:space="preserve"> (to identify training needs and assist in achieving improvements)</w:t>
      </w:r>
    </w:p>
    <w:p w:rsidR="00347F7B" w:rsidRDefault="00347F7B" w:rsidP="00347F7B">
      <w:pPr>
        <w:pStyle w:val="ListParagraph"/>
        <w:numPr>
          <w:ilvl w:val="0"/>
          <w:numId w:val="16"/>
        </w:numPr>
        <w:ind w:left="1134" w:hanging="425"/>
      </w:pPr>
      <w:r>
        <w:t>Disciplinary investigation</w:t>
      </w:r>
    </w:p>
    <w:p w:rsidR="003A2A0A" w:rsidRDefault="003A2A0A" w:rsidP="003A2A0A">
      <w:pPr>
        <w:pStyle w:val="ListParagraph"/>
        <w:ind w:left="1134"/>
      </w:pPr>
    </w:p>
    <w:p w:rsidR="00347F7B" w:rsidRDefault="00347F7B" w:rsidP="003A2A0A">
      <w:pPr>
        <w:ind w:left="709" w:hanging="709"/>
      </w:pPr>
      <w:r>
        <w:lastRenderedPageBreak/>
        <w:t>3.2</w:t>
      </w:r>
      <w:r>
        <w:tab/>
        <w:t>Examples include:-</w:t>
      </w:r>
    </w:p>
    <w:p w:rsidR="00347F7B" w:rsidRDefault="00347F7B" w:rsidP="00347F7B">
      <w:pPr>
        <w:ind w:left="567" w:hanging="567"/>
      </w:pPr>
    </w:p>
    <w:p w:rsidR="00347F7B" w:rsidRPr="0063380F" w:rsidRDefault="00347F7B" w:rsidP="003A2A0A">
      <w:pPr>
        <w:ind w:left="709" w:hanging="709"/>
        <w:rPr>
          <w:b/>
        </w:rPr>
      </w:pPr>
      <w:r>
        <w:tab/>
      </w:r>
      <w:r w:rsidRPr="0063380F">
        <w:rPr>
          <w:b/>
        </w:rPr>
        <w:t>Monitoring Activity</w:t>
      </w:r>
      <w:r>
        <w:rPr>
          <w:b/>
        </w:rPr>
        <w:tab/>
      </w:r>
      <w:r>
        <w:rPr>
          <w:b/>
        </w:rPr>
        <w:tab/>
      </w:r>
      <w:r>
        <w:rPr>
          <w:b/>
        </w:rPr>
        <w:tab/>
        <w:t>Uses</w:t>
      </w:r>
    </w:p>
    <w:p w:rsidR="00347F7B" w:rsidRDefault="00347F7B" w:rsidP="00347F7B">
      <w:pPr>
        <w:ind w:left="567" w:hanging="567"/>
      </w:pPr>
    </w:p>
    <w:p w:rsidR="00347F7B" w:rsidRDefault="00347F7B" w:rsidP="003A2A0A">
      <w:pPr>
        <w:ind w:left="4320" w:hanging="3611"/>
      </w:pPr>
      <w:r>
        <w:t xml:space="preserve">Recording telephone calls </w:t>
      </w:r>
      <w:r>
        <w:tab/>
        <w:t>Staff training or to deal with complaints from customers</w:t>
      </w:r>
    </w:p>
    <w:p w:rsidR="00347F7B" w:rsidRDefault="00347F7B" w:rsidP="00347F7B">
      <w:pPr>
        <w:ind w:left="4320" w:hanging="3750"/>
      </w:pPr>
    </w:p>
    <w:p w:rsidR="00347F7B" w:rsidRDefault="00347F7B" w:rsidP="003A2A0A">
      <w:pPr>
        <w:ind w:left="4320" w:hanging="3611"/>
      </w:pPr>
      <w:r>
        <w:t>CCTV</w:t>
      </w:r>
      <w:r>
        <w:tab/>
        <w:t>Check compliance with health and safety rules or prevention of crime</w:t>
      </w:r>
    </w:p>
    <w:p w:rsidR="00347F7B" w:rsidRDefault="00347F7B" w:rsidP="00347F7B">
      <w:pPr>
        <w:ind w:left="4320" w:hanging="3750"/>
      </w:pPr>
    </w:p>
    <w:p w:rsidR="00347F7B" w:rsidRDefault="00347F7B" w:rsidP="003A2A0A">
      <w:pPr>
        <w:ind w:left="4320" w:hanging="3611"/>
      </w:pPr>
      <w:r>
        <w:t>Vehicle trackers</w:t>
      </w:r>
      <w:r>
        <w:tab/>
      </w:r>
      <w:proofErr w:type="gramStart"/>
      <w:r>
        <w:t>To</w:t>
      </w:r>
      <w:proofErr w:type="gramEnd"/>
      <w:r>
        <w:t xml:space="preserve"> improve fuel consumption or route optimisation</w:t>
      </w:r>
    </w:p>
    <w:p w:rsidR="00347F7B" w:rsidRDefault="00347F7B" w:rsidP="00347F7B"/>
    <w:p w:rsidR="00347F7B" w:rsidRDefault="00347F7B" w:rsidP="00347F7B">
      <w:pPr>
        <w:ind w:left="4320" w:hanging="3750"/>
      </w:pPr>
    </w:p>
    <w:p w:rsidR="00347F7B" w:rsidRDefault="00347F7B" w:rsidP="003A2A0A">
      <w:pPr>
        <w:ind w:left="709" w:hanging="709"/>
      </w:pPr>
      <w:r>
        <w:t>3.3</w:t>
      </w:r>
      <w:r>
        <w:tab/>
        <w:t xml:space="preserve">If during the course of monitoring for one purpose other issues causing concern (which no reasonable employer could ignore) come to light they will also be reviewed and appropriate action taken.  It is expected that these other issues will be dealt with separately unless all parties agree that they are dealt with together. Where there is a disagreement the </w:t>
      </w:r>
      <w:r w:rsidR="001A5368" w:rsidRPr="001A5368">
        <w:rPr>
          <w:rFonts w:cs="Arial"/>
        </w:rPr>
        <w:t>Corporate Lead for HR Policy and Organisational Development</w:t>
      </w:r>
      <w:r>
        <w:t xml:space="preserve"> will make the decision</w:t>
      </w:r>
      <w:r w:rsidR="001A5368">
        <w:t>.</w:t>
      </w:r>
    </w:p>
    <w:p w:rsidR="00F869DC" w:rsidRPr="000E6F29" w:rsidRDefault="0002177D" w:rsidP="003A2A0A">
      <w:pPr>
        <w:pStyle w:val="Heading1"/>
        <w:numPr>
          <w:ilvl w:val="0"/>
          <w:numId w:val="19"/>
        </w:numPr>
        <w:ind w:left="709" w:hanging="709"/>
      </w:pPr>
      <w:bookmarkStart w:id="4" w:name="_Toc422482497"/>
      <w:r w:rsidRPr="000E6F29">
        <w:t>Types</w:t>
      </w:r>
      <w:r w:rsidR="007E6C3F" w:rsidRPr="000E6F29">
        <w:t xml:space="preserve"> </w:t>
      </w:r>
      <w:r w:rsidR="00AE53CD" w:rsidRPr="000E6F29">
        <w:t>of Monitoring</w:t>
      </w:r>
      <w:bookmarkEnd w:id="4"/>
    </w:p>
    <w:p w:rsidR="0010767C" w:rsidRPr="000E6F29" w:rsidRDefault="0010767C" w:rsidP="0010767C"/>
    <w:p w:rsidR="00C6246B" w:rsidRPr="000E6F29" w:rsidRDefault="00C6246B" w:rsidP="003A2A0A">
      <w:pPr>
        <w:pStyle w:val="ListParagraph"/>
        <w:numPr>
          <w:ilvl w:val="1"/>
          <w:numId w:val="21"/>
        </w:numPr>
        <w:ind w:left="709" w:hanging="709"/>
      </w:pPr>
      <w:r w:rsidRPr="000E6F29">
        <w:t>Monitoring is an activity which sets out to collect information about employees by keeping them under some form of observation.  It involves the manual recording or automated processing of personal information.</w:t>
      </w:r>
    </w:p>
    <w:p w:rsidR="003369A7" w:rsidRPr="000E6F29" w:rsidRDefault="003369A7" w:rsidP="003369A7">
      <w:pPr>
        <w:pStyle w:val="ListParagraph"/>
        <w:ind w:left="930"/>
      </w:pPr>
    </w:p>
    <w:p w:rsidR="003369A7" w:rsidRPr="000E6F29" w:rsidRDefault="003369A7" w:rsidP="00C0143F">
      <w:pPr>
        <w:pStyle w:val="ListParagraph"/>
        <w:numPr>
          <w:ilvl w:val="1"/>
          <w:numId w:val="21"/>
        </w:numPr>
        <w:ind w:left="709" w:hanging="709"/>
      </w:pPr>
      <w:r w:rsidRPr="000E6F29">
        <w:t>The Telecommunications (Lawful Business Practice) (Interception of Communication) Regulations 2000 authorises a business (including a government department) to monitor and record communications for the purpose of preventing and detecting crime, and to ensure there is no criminality or foul play from its employees.</w:t>
      </w:r>
    </w:p>
    <w:p w:rsidR="00966375" w:rsidRDefault="00966375">
      <w:pPr>
        <w:rPr>
          <w:rFonts w:eastAsiaTheme="majorEastAsia" w:cstheme="majorBidi"/>
          <w:b/>
          <w:bCs/>
          <w:szCs w:val="26"/>
        </w:rPr>
      </w:pPr>
    </w:p>
    <w:p w:rsidR="00C6246B" w:rsidRDefault="00C6246B" w:rsidP="0010767C">
      <w:pPr>
        <w:pStyle w:val="Heading2"/>
        <w:ind w:firstLine="709"/>
      </w:pPr>
      <w:bookmarkStart w:id="5" w:name="_Toc422482498"/>
      <w:r>
        <w:t>Systematic Monitoring</w:t>
      </w:r>
      <w:bookmarkEnd w:id="5"/>
    </w:p>
    <w:p w:rsidR="00966375" w:rsidRPr="00966375" w:rsidRDefault="00966375" w:rsidP="00966375"/>
    <w:p w:rsidR="003572B1" w:rsidRPr="001A5368" w:rsidRDefault="00C6246B" w:rsidP="00C0143F">
      <w:pPr>
        <w:pStyle w:val="ListParagraph"/>
        <w:numPr>
          <w:ilvl w:val="1"/>
          <w:numId w:val="21"/>
        </w:numPr>
        <w:ind w:left="709" w:hanging="709"/>
      </w:pPr>
      <w:r w:rsidRPr="001A5368">
        <w:t>Systematic monitoring is where all employees</w:t>
      </w:r>
      <w:r w:rsidR="00344551" w:rsidRPr="001A5368">
        <w:t xml:space="preserve"> or a group of employees</w:t>
      </w:r>
      <w:r w:rsidRPr="001A5368">
        <w:t xml:space="preserve"> are monitored as a matter of routine e.g. to establish a pattern of use for a service</w:t>
      </w:r>
      <w:r w:rsidR="00C0143F" w:rsidRPr="001A5368">
        <w:t xml:space="preserve"> such as monitoring the work being undertaken by Building Services to inform service delivery needs</w:t>
      </w:r>
      <w:r w:rsidRPr="001A5368">
        <w:t xml:space="preserve">. </w:t>
      </w:r>
    </w:p>
    <w:p w:rsidR="003572B1" w:rsidRDefault="003572B1" w:rsidP="001D2602">
      <w:pPr>
        <w:pStyle w:val="ListParagraph"/>
        <w:ind w:left="709" w:hanging="709"/>
      </w:pPr>
    </w:p>
    <w:p w:rsidR="00C6246B" w:rsidRDefault="007F4C9E" w:rsidP="00C0143F">
      <w:pPr>
        <w:pStyle w:val="ListParagraph"/>
        <w:numPr>
          <w:ilvl w:val="1"/>
          <w:numId w:val="21"/>
        </w:numPr>
        <w:ind w:left="709" w:hanging="709"/>
      </w:pPr>
      <w:r>
        <w:t xml:space="preserve">This monitoring is for the benefit of employees and the organisation for the purposes of achieving improvements in business </w:t>
      </w:r>
      <w:r w:rsidR="003572B1">
        <w:t>efficiency</w:t>
      </w:r>
      <w:r>
        <w:t xml:space="preserve"> or protecting the employee or the organisation</w:t>
      </w:r>
      <w:r w:rsidR="000A7556">
        <w:t xml:space="preserve">. </w:t>
      </w:r>
      <w:r w:rsidR="00C6246B">
        <w:t>It may or may not identify individuals.</w:t>
      </w:r>
      <w:r w:rsidR="00624B18">
        <w:t xml:space="preserve"> </w:t>
      </w:r>
    </w:p>
    <w:p w:rsidR="008005C1" w:rsidRDefault="008005C1" w:rsidP="001D2602">
      <w:pPr>
        <w:pStyle w:val="ListParagraph"/>
        <w:ind w:left="709" w:hanging="709"/>
      </w:pPr>
    </w:p>
    <w:p w:rsidR="008005C1" w:rsidRDefault="008005C1" w:rsidP="00C0143F">
      <w:pPr>
        <w:pStyle w:val="ListParagraph"/>
        <w:numPr>
          <w:ilvl w:val="1"/>
          <w:numId w:val="21"/>
        </w:numPr>
        <w:ind w:left="709" w:hanging="709"/>
      </w:pPr>
      <w:r>
        <w:t>Procedures and guidance are available to employees on the use of particular monitoring tools.</w:t>
      </w:r>
      <w:r w:rsidR="009036DE">
        <w:t xml:space="preserve">  These are available on the intranet and at specific Council locations as appropriate.</w:t>
      </w:r>
    </w:p>
    <w:p w:rsidR="008005C1" w:rsidRDefault="008005C1" w:rsidP="008005C1">
      <w:pPr>
        <w:pStyle w:val="ListParagraph"/>
      </w:pPr>
    </w:p>
    <w:p w:rsidR="00C6246B" w:rsidRDefault="00C6246B" w:rsidP="0010767C">
      <w:pPr>
        <w:pStyle w:val="Heading2"/>
        <w:ind w:firstLine="709"/>
      </w:pPr>
      <w:bookmarkStart w:id="6" w:name="_Toc422482499"/>
      <w:r>
        <w:lastRenderedPageBreak/>
        <w:t>Occasional Monitoring</w:t>
      </w:r>
      <w:bookmarkEnd w:id="6"/>
    </w:p>
    <w:p w:rsidR="0010767C" w:rsidRPr="0010767C" w:rsidRDefault="0010767C" w:rsidP="0010767C"/>
    <w:p w:rsidR="00254AC1" w:rsidRPr="001A5368" w:rsidRDefault="00C6246B" w:rsidP="00F641FF">
      <w:pPr>
        <w:pStyle w:val="ListParagraph"/>
        <w:numPr>
          <w:ilvl w:val="1"/>
          <w:numId w:val="21"/>
        </w:numPr>
        <w:tabs>
          <w:tab w:val="left" w:pos="709"/>
        </w:tabs>
        <w:ind w:left="709" w:hanging="709"/>
      </w:pPr>
      <w:r w:rsidRPr="001A5368">
        <w:t>Occasional monitoring is a short term measure in response to a particular issue or need.</w:t>
      </w:r>
      <w:r w:rsidR="00200368" w:rsidRPr="001A5368">
        <w:t xml:space="preserve">  </w:t>
      </w:r>
      <w:r w:rsidR="004D4A0C" w:rsidRPr="001A5368">
        <w:t xml:space="preserve">The issue giving rise to the need for occasional individual monitoring will </w:t>
      </w:r>
      <w:r w:rsidR="00196545" w:rsidRPr="001A5368">
        <w:t>usually</w:t>
      </w:r>
      <w:r w:rsidR="004D4A0C" w:rsidRPr="001A5368">
        <w:t xml:space="preserve"> be identified through normal working practices and arrangements which indicate a </w:t>
      </w:r>
      <w:r w:rsidR="00254AC1" w:rsidRPr="001A5368">
        <w:t>requirement</w:t>
      </w:r>
      <w:r w:rsidR="004D4A0C" w:rsidRPr="001A5368">
        <w:t xml:space="preserve"> for further investigation</w:t>
      </w:r>
      <w:r w:rsidR="00C0143F" w:rsidRPr="001A5368">
        <w:t xml:space="preserve"> </w:t>
      </w:r>
      <w:r w:rsidR="00B10425" w:rsidRPr="001A5368">
        <w:t>e.g.</w:t>
      </w:r>
      <w:r w:rsidR="00C0143F" w:rsidRPr="001A5368">
        <w:t xml:space="preserve"> monitoring working hours for a group of employees in response to concerns about high work levels</w:t>
      </w:r>
      <w:r w:rsidR="004D4A0C" w:rsidRPr="001A5368">
        <w:t>.</w:t>
      </w:r>
      <w:r w:rsidR="00C0143F" w:rsidRPr="001A5368">
        <w:t xml:space="preserve"> </w:t>
      </w:r>
      <w:r w:rsidR="004D4A0C" w:rsidRPr="001A5368">
        <w:t xml:space="preserve"> </w:t>
      </w:r>
    </w:p>
    <w:p w:rsidR="00254AC1" w:rsidRDefault="00254AC1" w:rsidP="00F641FF">
      <w:pPr>
        <w:tabs>
          <w:tab w:val="left" w:pos="709"/>
        </w:tabs>
        <w:ind w:left="709" w:hanging="709"/>
      </w:pPr>
    </w:p>
    <w:p w:rsidR="001D2602" w:rsidRDefault="00624B18" w:rsidP="00F641FF">
      <w:pPr>
        <w:pStyle w:val="ListParagraph"/>
        <w:numPr>
          <w:ilvl w:val="1"/>
          <w:numId w:val="21"/>
        </w:numPr>
        <w:tabs>
          <w:tab w:val="left" w:pos="709"/>
        </w:tabs>
        <w:ind w:left="709" w:hanging="709"/>
      </w:pPr>
      <w:r>
        <w:t>Any monitoring information that is col</w:t>
      </w:r>
      <w:r w:rsidR="0025089B">
        <w:t>lected in relation t</w:t>
      </w:r>
      <w:r>
        <w:t>o</w:t>
      </w:r>
      <w:r w:rsidR="0025089B">
        <w:t xml:space="preserve"> </w:t>
      </w:r>
      <w:r w:rsidR="001D2602">
        <w:t>an employee</w:t>
      </w:r>
      <w:r>
        <w:t xml:space="preserve"> may be used in a disciplinary investigation, for example where there is inappropriate use of the internet or e-mail</w:t>
      </w:r>
      <w:r w:rsidR="0025089B">
        <w:t>.</w:t>
      </w:r>
    </w:p>
    <w:p w:rsidR="001D2602" w:rsidRDefault="001D2602" w:rsidP="001D2602">
      <w:pPr>
        <w:pStyle w:val="ListParagraph"/>
      </w:pPr>
    </w:p>
    <w:p w:rsidR="002B2EB4" w:rsidRPr="001D2602" w:rsidRDefault="00254AC1" w:rsidP="00C0143F">
      <w:pPr>
        <w:pStyle w:val="ListParagraph"/>
        <w:numPr>
          <w:ilvl w:val="1"/>
          <w:numId w:val="21"/>
        </w:numPr>
        <w:ind w:left="709" w:hanging="709"/>
      </w:pPr>
      <w:r w:rsidRPr="001D2602">
        <w:t>In exceptional circumstances, o</w:t>
      </w:r>
      <w:r w:rsidR="004D4A0C" w:rsidRPr="001D2602">
        <w:t>ccasional monitoring may be c</w:t>
      </w:r>
      <w:r w:rsidR="00A02103" w:rsidRPr="001D2602">
        <w:t xml:space="preserve">overt </w:t>
      </w:r>
      <w:r w:rsidR="004D4A0C" w:rsidRPr="001D2602">
        <w:t>i.e.</w:t>
      </w:r>
      <w:r w:rsidR="00AE53CD" w:rsidRPr="001D2602">
        <w:t xml:space="preserve"> carried out in a way that is designed to ensure those </w:t>
      </w:r>
      <w:r w:rsidR="00DD435D" w:rsidRPr="001D2602">
        <w:t xml:space="preserve">who are </w:t>
      </w:r>
      <w:r w:rsidR="00AE53CD" w:rsidRPr="001D2602">
        <w:t>subject to it are unaware that it is taking place.</w:t>
      </w:r>
      <w:r w:rsidR="002E476E" w:rsidRPr="001D2602">
        <w:t xml:space="preserve"> This </w:t>
      </w:r>
      <w:r w:rsidR="005B3739" w:rsidRPr="001D2602">
        <w:t xml:space="preserve">may </w:t>
      </w:r>
      <w:r w:rsidR="00EF3CF9" w:rsidRPr="001D2602">
        <w:t>be undertaken</w:t>
      </w:r>
      <w:r w:rsidR="002E476E" w:rsidRPr="001D2602">
        <w:t xml:space="preserve"> </w:t>
      </w:r>
      <w:r w:rsidR="00EF3CF9" w:rsidRPr="001D2602">
        <w:t xml:space="preserve">if required for criminal or disciplinary </w:t>
      </w:r>
      <w:r w:rsidR="00A02103" w:rsidRPr="001D2602">
        <w:t>purposes</w:t>
      </w:r>
      <w:r w:rsidR="002C1821" w:rsidRPr="001D2602">
        <w:t xml:space="preserve"> </w:t>
      </w:r>
      <w:r w:rsidR="00A02103" w:rsidRPr="001D2602">
        <w:t xml:space="preserve">and could include </w:t>
      </w:r>
      <w:r w:rsidR="002B2EB4" w:rsidRPr="001D2602">
        <w:t>monitoring of telecommunications including e-mail</w:t>
      </w:r>
      <w:r w:rsidR="00B1726B" w:rsidRPr="001D2602">
        <w:t>,</w:t>
      </w:r>
      <w:r w:rsidR="002B2EB4" w:rsidRPr="001D2602">
        <w:t xml:space="preserve"> without the knowledge of the individual.</w:t>
      </w:r>
      <w:r w:rsidRPr="001D2602">
        <w:t xml:space="preserve"> </w:t>
      </w:r>
      <w:r>
        <w:t>In all cases prior authorisation for such monitoring must be sought</w:t>
      </w:r>
      <w:r w:rsidR="00347F7B">
        <w:t xml:space="preserve"> as outlined in Paragraph 6.2.</w:t>
      </w:r>
    </w:p>
    <w:p w:rsidR="007E6C3F" w:rsidRDefault="0025089B" w:rsidP="00F641FF">
      <w:pPr>
        <w:pStyle w:val="Heading1"/>
        <w:numPr>
          <w:ilvl w:val="0"/>
          <w:numId w:val="21"/>
        </w:numPr>
        <w:ind w:left="709" w:hanging="709"/>
      </w:pPr>
      <w:bookmarkStart w:id="7" w:name="_Toc422482500"/>
      <w:r>
        <w:t>Monitoring Tools</w:t>
      </w:r>
      <w:bookmarkEnd w:id="7"/>
      <w:r w:rsidR="007E6C3F">
        <w:t xml:space="preserve"> </w:t>
      </w:r>
    </w:p>
    <w:p w:rsidR="009816C5" w:rsidRDefault="009816C5" w:rsidP="00F641FF">
      <w:pPr>
        <w:ind w:left="709" w:hanging="709"/>
      </w:pPr>
    </w:p>
    <w:p w:rsidR="00B937B7" w:rsidRDefault="006F6C6B" w:rsidP="00F641FF">
      <w:pPr>
        <w:ind w:left="709" w:hanging="709"/>
        <w:rPr>
          <w:rFonts w:cs="Arial"/>
        </w:rPr>
      </w:pPr>
      <w:r>
        <w:rPr>
          <w:rFonts w:cs="Arial"/>
        </w:rPr>
        <w:t>5.1</w:t>
      </w:r>
      <w:r>
        <w:rPr>
          <w:rFonts w:cs="Arial"/>
        </w:rPr>
        <w:tab/>
      </w:r>
      <w:r w:rsidR="0078674C">
        <w:rPr>
          <w:rFonts w:cs="Arial"/>
        </w:rPr>
        <w:t>A</w:t>
      </w:r>
      <w:r w:rsidR="00B937B7" w:rsidRPr="00B937B7">
        <w:rPr>
          <w:rFonts w:cs="Arial"/>
        </w:rPr>
        <w:t xml:space="preserve"> list</w:t>
      </w:r>
      <w:r w:rsidR="00542AF4">
        <w:rPr>
          <w:rFonts w:cs="Arial"/>
        </w:rPr>
        <w:t xml:space="preserve"> </w:t>
      </w:r>
      <w:r w:rsidR="001D2506">
        <w:rPr>
          <w:rFonts w:cs="Arial"/>
        </w:rPr>
        <w:t xml:space="preserve">of </w:t>
      </w:r>
      <w:r w:rsidR="001D2602">
        <w:rPr>
          <w:rFonts w:cs="Arial"/>
        </w:rPr>
        <w:t>the tools</w:t>
      </w:r>
      <w:r w:rsidR="00B937B7" w:rsidRPr="00B937B7">
        <w:rPr>
          <w:rFonts w:cs="Arial"/>
        </w:rPr>
        <w:t xml:space="preserve"> that the Council has at its </w:t>
      </w:r>
      <w:r w:rsidR="00D52461">
        <w:rPr>
          <w:rFonts w:cs="Arial"/>
        </w:rPr>
        <w:t>disposal</w:t>
      </w:r>
      <w:r w:rsidR="00D52461" w:rsidRPr="00B937B7">
        <w:rPr>
          <w:rFonts w:cs="Arial"/>
        </w:rPr>
        <w:t xml:space="preserve"> </w:t>
      </w:r>
      <w:r w:rsidR="00B937B7" w:rsidRPr="00B937B7">
        <w:rPr>
          <w:rFonts w:cs="Arial"/>
        </w:rPr>
        <w:t xml:space="preserve">to monitor </w:t>
      </w:r>
      <w:r w:rsidR="00542AF4">
        <w:rPr>
          <w:rFonts w:cs="Arial"/>
        </w:rPr>
        <w:t>employees</w:t>
      </w:r>
      <w:r w:rsidR="00B937B7">
        <w:rPr>
          <w:rFonts w:cs="Arial"/>
        </w:rPr>
        <w:t xml:space="preserve"> for any of the above purposes</w:t>
      </w:r>
      <w:r w:rsidR="00542AF4" w:rsidRPr="00542AF4">
        <w:rPr>
          <w:rFonts w:cs="Arial"/>
        </w:rPr>
        <w:t xml:space="preserve"> </w:t>
      </w:r>
      <w:r w:rsidR="00542AF4">
        <w:rPr>
          <w:rFonts w:cs="Arial"/>
        </w:rPr>
        <w:t>is available to all employees</w:t>
      </w:r>
      <w:r w:rsidR="00B937B7" w:rsidRPr="00B937B7">
        <w:rPr>
          <w:rFonts w:cs="Arial"/>
        </w:rPr>
        <w:t>. It also shows the main purpose for t</w:t>
      </w:r>
      <w:r w:rsidR="00B937B7">
        <w:rPr>
          <w:rFonts w:cs="Arial"/>
        </w:rPr>
        <w:t>he implementation of the tool</w:t>
      </w:r>
      <w:r w:rsidR="00B937B7" w:rsidRPr="00B937B7">
        <w:rPr>
          <w:rFonts w:cs="Arial"/>
        </w:rPr>
        <w:t xml:space="preserve"> and </w:t>
      </w:r>
      <w:r w:rsidR="009816C5">
        <w:rPr>
          <w:rFonts w:cs="Arial"/>
        </w:rPr>
        <w:t>the</w:t>
      </w:r>
      <w:r w:rsidR="00B937B7" w:rsidRPr="00B937B7">
        <w:rPr>
          <w:rFonts w:cs="Arial"/>
        </w:rPr>
        <w:t xml:space="preserve"> </w:t>
      </w:r>
      <w:r w:rsidR="00B937B7">
        <w:rPr>
          <w:rFonts w:cs="Arial"/>
        </w:rPr>
        <w:t>service area</w:t>
      </w:r>
      <w:r w:rsidR="00273514">
        <w:rPr>
          <w:rFonts w:cs="Arial"/>
        </w:rPr>
        <w:t>(s) deploying it</w:t>
      </w:r>
      <w:r w:rsidR="00B937B7" w:rsidRPr="00B937B7">
        <w:rPr>
          <w:rFonts w:cs="Arial"/>
        </w:rPr>
        <w:t xml:space="preserve">. </w:t>
      </w:r>
    </w:p>
    <w:p w:rsidR="002E476E" w:rsidRPr="002E476E" w:rsidRDefault="002E476E" w:rsidP="00F641FF">
      <w:pPr>
        <w:ind w:left="709" w:hanging="709"/>
      </w:pPr>
    </w:p>
    <w:p w:rsidR="008005C1" w:rsidRDefault="006F6C6B" w:rsidP="00F641FF">
      <w:pPr>
        <w:ind w:left="709" w:hanging="709"/>
        <w:rPr>
          <w:rFonts w:cs="Arial"/>
        </w:rPr>
      </w:pPr>
      <w:r>
        <w:rPr>
          <w:rFonts w:cs="Arial"/>
        </w:rPr>
        <w:t>5.2</w:t>
      </w:r>
      <w:r>
        <w:rPr>
          <w:rFonts w:cs="Arial"/>
        </w:rPr>
        <w:tab/>
      </w:r>
      <w:r w:rsidR="009816C5" w:rsidRPr="006F6C6B">
        <w:rPr>
          <w:rFonts w:cs="Arial"/>
        </w:rPr>
        <w:t xml:space="preserve">In the event that a new tool </w:t>
      </w:r>
      <w:r w:rsidR="00624DF4">
        <w:rPr>
          <w:rFonts w:cs="Arial"/>
        </w:rPr>
        <w:t>which has monitoring potential</w:t>
      </w:r>
      <w:r w:rsidR="00624DF4" w:rsidRPr="006F6C6B">
        <w:rPr>
          <w:rFonts w:cs="Arial"/>
        </w:rPr>
        <w:t xml:space="preserve"> </w:t>
      </w:r>
      <w:r w:rsidR="009816C5" w:rsidRPr="006F6C6B">
        <w:rPr>
          <w:rFonts w:cs="Arial"/>
        </w:rPr>
        <w:t>is introduced</w:t>
      </w:r>
      <w:r w:rsidR="00624DF4">
        <w:rPr>
          <w:rFonts w:cs="Arial"/>
        </w:rPr>
        <w:t xml:space="preserve"> or changes are made to an existing tool</w:t>
      </w:r>
      <w:r w:rsidR="001705DF">
        <w:rPr>
          <w:rFonts w:cs="Arial"/>
        </w:rPr>
        <w:t xml:space="preserve"> </w:t>
      </w:r>
      <w:r w:rsidR="009816C5" w:rsidRPr="006F6C6B">
        <w:rPr>
          <w:rFonts w:cs="Arial"/>
        </w:rPr>
        <w:t xml:space="preserve">the </w:t>
      </w:r>
      <w:r w:rsidR="00B20E69" w:rsidRPr="001A5368">
        <w:rPr>
          <w:rFonts w:cs="Arial"/>
        </w:rPr>
        <w:t>Corporate Lead for HR Policy and Organisational Development</w:t>
      </w:r>
      <w:r w:rsidR="009816C5" w:rsidRPr="001A5368">
        <w:rPr>
          <w:rFonts w:cs="Arial"/>
        </w:rPr>
        <w:t xml:space="preserve"> will consult with the Trade Unions and amend th</w:t>
      </w:r>
      <w:r w:rsidR="00542AF4" w:rsidRPr="001A5368">
        <w:rPr>
          <w:rFonts w:cs="Arial"/>
        </w:rPr>
        <w:t>e</w:t>
      </w:r>
      <w:r w:rsidR="009816C5" w:rsidRPr="001A5368">
        <w:rPr>
          <w:rFonts w:cs="Arial"/>
        </w:rPr>
        <w:t xml:space="preserve"> </w:t>
      </w:r>
      <w:r w:rsidR="001D2602" w:rsidRPr="001A5368">
        <w:rPr>
          <w:rFonts w:cs="Arial"/>
        </w:rPr>
        <w:t>list</w:t>
      </w:r>
      <w:r w:rsidR="009816C5" w:rsidRPr="001A5368">
        <w:rPr>
          <w:rFonts w:cs="Arial"/>
        </w:rPr>
        <w:t>.</w:t>
      </w:r>
      <w:r w:rsidR="001705DF">
        <w:rPr>
          <w:rFonts w:cs="Arial"/>
        </w:rPr>
        <w:t xml:space="preserve"> </w:t>
      </w:r>
    </w:p>
    <w:p w:rsidR="008005C1" w:rsidRDefault="001705DF" w:rsidP="00F641FF">
      <w:pPr>
        <w:ind w:left="709" w:hanging="709"/>
        <w:rPr>
          <w:rFonts w:cs="Arial"/>
        </w:rPr>
      </w:pPr>
      <w:r>
        <w:rPr>
          <w:rFonts w:cs="Arial"/>
        </w:rPr>
        <w:t xml:space="preserve"> </w:t>
      </w:r>
    </w:p>
    <w:p w:rsidR="007E6C3F" w:rsidRPr="006F6C6B" w:rsidRDefault="008005C1" w:rsidP="00F641FF">
      <w:pPr>
        <w:ind w:left="709" w:hanging="709"/>
        <w:rPr>
          <w:rFonts w:cs="Arial"/>
        </w:rPr>
      </w:pPr>
      <w:r>
        <w:rPr>
          <w:rFonts w:cs="Arial"/>
        </w:rPr>
        <w:t>5.3</w:t>
      </w:r>
      <w:r>
        <w:rPr>
          <w:rFonts w:cs="Arial"/>
        </w:rPr>
        <w:tab/>
      </w:r>
      <w:r w:rsidR="001705DF">
        <w:rPr>
          <w:rFonts w:cs="Arial"/>
        </w:rPr>
        <w:t>This will include a review to establish the purpose of the monitoring and to ensure that it has justifiable benefits for the Council</w:t>
      </w:r>
      <w:r w:rsidR="00F50AD2">
        <w:rPr>
          <w:rFonts w:cs="Arial"/>
        </w:rPr>
        <w:t xml:space="preserve"> taking into account the impacts that the monitoring may have</w:t>
      </w:r>
      <w:r w:rsidR="00DC0C75">
        <w:rPr>
          <w:rFonts w:cs="Arial"/>
        </w:rPr>
        <w:t>.</w:t>
      </w:r>
    </w:p>
    <w:p w:rsidR="001705DF" w:rsidRPr="001705DF" w:rsidRDefault="007E6C3F" w:rsidP="00F641FF">
      <w:pPr>
        <w:pStyle w:val="Heading1"/>
        <w:numPr>
          <w:ilvl w:val="0"/>
          <w:numId w:val="21"/>
        </w:numPr>
        <w:ind w:left="709" w:hanging="709"/>
      </w:pPr>
      <w:bookmarkStart w:id="8" w:name="_Toc422482501"/>
      <w:r>
        <w:t>Authority and Process for Monitoring</w:t>
      </w:r>
      <w:bookmarkEnd w:id="8"/>
    </w:p>
    <w:p w:rsidR="006F6C6B" w:rsidRPr="006F6C6B" w:rsidRDefault="006F6C6B" w:rsidP="00F641FF">
      <w:pPr>
        <w:ind w:left="709" w:hanging="709"/>
      </w:pPr>
    </w:p>
    <w:p w:rsidR="001705DF" w:rsidRPr="001A5368" w:rsidRDefault="001705DF" w:rsidP="00F641FF">
      <w:pPr>
        <w:pStyle w:val="ListParagraph"/>
        <w:numPr>
          <w:ilvl w:val="1"/>
          <w:numId w:val="21"/>
        </w:numPr>
        <w:autoSpaceDE w:val="0"/>
        <w:autoSpaceDN w:val="0"/>
        <w:adjustRightInd w:val="0"/>
        <w:ind w:left="709" w:hanging="709"/>
      </w:pPr>
      <w:r w:rsidRPr="001A5368">
        <w:t xml:space="preserve">Systematic monitoring will take place in accordance with the procedures established for the particular tool.  This will include </w:t>
      </w:r>
      <w:r w:rsidR="00B20E69" w:rsidRPr="001A5368">
        <w:t xml:space="preserve">identifying </w:t>
      </w:r>
      <w:r w:rsidRPr="001A5368">
        <w:t xml:space="preserve">the person(s) responsible for the data, processing requirements, </w:t>
      </w:r>
      <w:proofErr w:type="gramStart"/>
      <w:r w:rsidRPr="001A5368">
        <w:t>storage</w:t>
      </w:r>
      <w:proofErr w:type="gramEnd"/>
      <w:r w:rsidRPr="001A5368">
        <w:t xml:space="preserve"> and retention periods.</w:t>
      </w:r>
      <w:r w:rsidR="00B20E69" w:rsidRPr="001A5368">
        <w:t xml:space="preserve">  The procedures will be kept and maintained by the manager responsible for the particular tool.</w:t>
      </w:r>
    </w:p>
    <w:p w:rsidR="001705DF" w:rsidRDefault="001705DF" w:rsidP="00F641FF">
      <w:pPr>
        <w:pStyle w:val="ListParagraph"/>
        <w:autoSpaceDE w:val="0"/>
        <w:autoSpaceDN w:val="0"/>
        <w:adjustRightInd w:val="0"/>
        <w:ind w:left="709" w:hanging="709"/>
      </w:pPr>
    </w:p>
    <w:p w:rsidR="009C627F" w:rsidRDefault="006F6C6B" w:rsidP="00F641FF">
      <w:pPr>
        <w:autoSpaceDE w:val="0"/>
        <w:autoSpaceDN w:val="0"/>
        <w:adjustRightInd w:val="0"/>
        <w:ind w:left="709" w:hanging="709"/>
      </w:pPr>
      <w:r w:rsidRPr="000B6935">
        <w:t>6.</w:t>
      </w:r>
      <w:r w:rsidR="001705DF">
        <w:t>2</w:t>
      </w:r>
      <w:r w:rsidRPr="000B6935">
        <w:tab/>
      </w:r>
      <w:r w:rsidR="009816C5" w:rsidRPr="000B6935">
        <w:t xml:space="preserve">Requests for </w:t>
      </w:r>
      <w:r w:rsidR="0078674C">
        <w:t xml:space="preserve">occasional </w:t>
      </w:r>
      <w:r w:rsidR="009816C5" w:rsidRPr="000B6935">
        <w:t>individual monitoring</w:t>
      </w:r>
      <w:r w:rsidR="0078674C">
        <w:t xml:space="preserve"> which may be covert</w:t>
      </w:r>
      <w:r w:rsidR="009816C5" w:rsidRPr="000B6935">
        <w:t xml:space="preserve"> must be made by the Head of Service </w:t>
      </w:r>
      <w:r w:rsidR="00E245BA" w:rsidRPr="000B6935">
        <w:t>(or nominated deputy) to the</w:t>
      </w:r>
      <w:r w:rsidR="001A5368">
        <w:t xml:space="preserve"> </w:t>
      </w:r>
      <w:r w:rsidR="001A5368" w:rsidRPr="001A5368">
        <w:rPr>
          <w:rFonts w:cs="Arial"/>
        </w:rPr>
        <w:t>Corporate Lead for HR Policy and Organisational Development</w:t>
      </w:r>
      <w:r w:rsidR="00E245BA" w:rsidRPr="000B6935">
        <w:t xml:space="preserve"> or Executive Director and </w:t>
      </w:r>
      <w:r w:rsidR="009C627F" w:rsidRPr="000B6935">
        <w:t>will only take place</w:t>
      </w:r>
      <w:r w:rsidR="00E245BA" w:rsidRPr="000B6935">
        <w:t>,</w:t>
      </w:r>
      <w:r w:rsidR="009C627F" w:rsidRPr="000B6935">
        <w:t xml:space="preserve"> </w:t>
      </w:r>
      <w:r w:rsidR="009816C5" w:rsidRPr="000B6935">
        <w:t>if</w:t>
      </w:r>
      <w:r w:rsidR="00E245BA" w:rsidRPr="000B6935">
        <w:t xml:space="preserve"> following consideration,</w:t>
      </w:r>
      <w:r w:rsidR="009C627F" w:rsidRPr="000B6935">
        <w:t xml:space="preserve"> comparable benefits cannot be achieved </w:t>
      </w:r>
      <w:r w:rsidR="009C627F" w:rsidRPr="000B6935">
        <w:lastRenderedPageBreak/>
        <w:t>b</w:t>
      </w:r>
      <w:r w:rsidR="00C1098E">
        <w:t>y other less intrusive methods. The Head of Business Improvement</w:t>
      </w:r>
      <w:r w:rsidR="00E245BA" w:rsidRPr="000B6935">
        <w:t xml:space="preserve"> </w:t>
      </w:r>
      <w:r w:rsidR="00C1098E">
        <w:t>will be required to grant authority for access to information and communication tools.</w:t>
      </w:r>
    </w:p>
    <w:p w:rsidR="00624DF4" w:rsidRDefault="00624DF4" w:rsidP="00F641FF">
      <w:pPr>
        <w:autoSpaceDE w:val="0"/>
        <w:autoSpaceDN w:val="0"/>
        <w:adjustRightInd w:val="0"/>
        <w:ind w:left="709" w:hanging="709"/>
      </w:pPr>
    </w:p>
    <w:p w:rsidR="00624DF4" w:rsidRPr="006F6C6B" w:rsidRDefault="00966375" w:rsidP="00F641FF">
      <w:pPr>
        <w:autoSpaceDE w:val="0"/>
        <w:autoSpaceDN w:val="0"/>
        <w:adjustRightInd w:val="0"/>
        <w:ind w:left="709" w:hanging="709"/>
        <w:rPr>
          <w:b/>
          <w:bCs/>
        </w:rPr>
      </w:pPr>
      <w:r>
        <w:t>6.3</w:t>
      </w:r>
      <w:r w:rsidR="00624DF4">
        <w:tab/>
        <w:t xml:space="preserve">When covert monitoring is authorised </w:t>
      </w:r>
      <w:r w:rsidR="00B4142B">
        <w:t>t</w:t>
      </w:r>
      <w:r w:rsidR="00624DF4">
        <w:t xml:space="preserve">he officer responsible for that monitoring will be agreed with the </w:t>
      </w:r>
      <w:r w:rsidR="00624DF4" w:rsidRPr="00664932">
        <w:t>Head of</w:t>
      </w:r>
      <w:r w:rsidR="001A5368" w:rsidRPr="001A5368">
        <w:rPr>
          <w:rFonts w:cs="Arial"/>
        </w:rPr>
        <w:t xml:space="preserve"> Corporate Lead for HR Policy and Organisational Development</w:t>
      </w:r>
      <w:r w:rsidR="00624DF4">
        <w:t>.</w:t>
      </w:r>
    </w:p>
    <w:p w:rsidR="007E6C3F" w:rsidRDefault="00624B18" w:rsidP="00F641FF">
      <w:pPr>
        <w:pStyle w:val="Heading1"/>
        <w:numPr>
          <w:ilvl w:val="0"/>
          <w:numId w:val="21"/>
        </w:numPr>
        <w:ind w:left="709" w:hanging="709"/>
      </w:pPr>
      <w:bookmarkStart w:id="9" w:name="_Toc422482502"/>
      <w:r>
        <w:t>Data Pro</w:t>
      </w:r>
      <w:r w:rsidR="007E6C3F">
        <w:t>tection/Privacy</w:t>
      </w:r>
      <w:bookmarkEnd w:id="9"/>
    </w:p>
    <w:p w:rsidR="00FD6366" w:rsidRPr="00FD6366" w:rsidRDefault="006F6C6B" w:rsidP="00F641FF">
      <w:pPr>
        <w:pStyle w:val="NormalWeb"/>
        <w:ind w:left="709" w:hanging="709"/>
        <w:rPr>
          <w:rFonts w:cs="Arial"/>
        </w:rPr>
      </w:pPr>
      <w:r>
        <w:rPr>
          <w:rFonts w:cs="Arial"/>
        </w:rPr>
        <w:t>7.1</w:t>
      </w:r>
      <w:r>
        <w:rPr>
          <w:rFonts w:cs="Arial"/>
        </w:rPr>
        <w:tab/>
      </w:r>
      <w:r w:rsidR="00FD6366" w:rsidRPr="00FD6366">
        <w:rPr>
          <w:rFonts w:cs="Arial"/>
        </w:rPr>
        <w:t xml:space="preserve">Personal data collected in the course of monitoring activities will be processed fairly and lawfully in accordance with the Data Protection Act 1998, </w:t>
      </w:r>
      <w:r w:rsidR="00C1098E" w:rsidRPr="00FD6366">
        <w:rPr>
          <w:rFonts w:cs="Arial"/>
        </w:rPr>
        <w:t>e</w:t>
      </w:r>
      <w:r w:rsidR="00C1098E">
        <w:rPr>
          <w:rFonts w:cs="Arial"/>
        </w:rPr>
        <w:t>.</w:t>
      </w:r>
      <w:r w:rsidR="00C1098E" w:rsidRPr="00FD6366">
        <w:rPr>
          <w:rFonts w:cs="Arial"/>
        </w:rPr>
        <w:t>g.</w:t>
      </w:r>
      <w:r w:rsidR="00FD6366" w:rsidRPr="00FD6366">
        <w:rPr>
          <w:rFonts w:cs="Arial"/>
        </w:rPr>
        <w:t xml:space="preserve"> it will be:</w:t>
      </w:r>
    </w:p>
    <w:p w:rsidR="00FD6366" w:rsidRPr="00FD6366" w:rsidRDefault="00FD6366" w:rsidP="00F641FF">
      <w:pPr>
        <w:numPr>
          <w:ilvl w:val="0"/>
          <w:numId w:val="17"/>
        </w:numPr>
        <w:spacing w:before="100" w:beforeAutospacing="1" w:after="100" w:afterAutospacing="1"/>
        <w:ind w:left="709" w:firstLine="0"/>
        <w:rPr>
          <w:rFonts w:cs="Arial"/>
        </w:rPr>
      </w:pPr>
      <w:r w:rsidRPr="00FD6366">
        <w:rPr>
          <w:rFonts w:cs="Arial"/>
        </w:rPr>
        <w:t>adequate, relevant and not excessive</w:t>
      </w:r>
    </w:p>
    <w:p w:rsidR="00FD6366" w:rsidRPr="00FD6366" w:rsidRDefault="00FD6366" w:rsidP="00F641FF">
      <w:pPr>
        <w:numPr>
          <w:ilvl w:val="0"/>
          <w:numId w:val="17"/>
        </w:numPr>
        <w:spacing w:before="100" w:beforeAutospacing="1" w:after="100" w:afterAutospacing="1"/>
        <w:ind w:left="1134" w:hanging="425"/>
        <w:rPr>
          <w:rFonts w:cs="Arial"/>
        </w:rPr>
      </w:pPr>
      <w:r w:rsidRPr="00FD6366">
        <w:rPr>
          <w:rFonts w:cs="Arial"/>
        </w:rPr>
        <w:t xml:space="preserve">used for </w:t>
      </w:r>
      <w:r w:rsidR="00624B18">
        <w:rPr>
          <w:rFonts w:cs="Arial"/>
        </w:rPr>
        <w:t>the purpose(s) stated in this policy</w:t>
      </w:r>
      <w:r w:rsidR="0063380F">
        <w:rPr>
          <w:rFonts w:cs="Arial"/>
        </w:rPr>
        <w:t xml:space="preserve"> unless monitoring reveals an activity no reasonable employer could ignore</w:t>
      </w:r>
    </w:p>
    <w:p w:rsidR="00FD6366" w:rsidRPr="00FD6366" w:rsidRDefault="00FD6366" w:rsidP="00F641FF">
      <w:pPr>
        <w:numPr>
          <w:ilvl w:val="0"/>
          <w:numId w:val="17"/>
        </w:numPr>
        <w:spacing w:before="100" w:beforeAutospacing="1" w:after="100" w:afterAutospacing="1"/>
        <w:ind w:left="709" w:firstLine="0"/>
        <w:rPr>
          <w:rFonts w:cs="Arial"/>
        </w:rPr>
      </w:pPr>
      <w:r w:rsidRPr="00FD6366">
        <w:rPr>
          <w:rFonts w:cs="Arial"/>
        </w:rPr>
        <w:t xml:space="preserve">accessible only to appropriate staff on a need to know basis </w:t>
      </w:r>
    </w:p>
    <w:p w:rsidR="00FD6366" w:rsidRPr="00FD6366" w:rsidRDefault="00FD6366" w:rsidP="00F641FF">
      <w:pPr>
        <w:numPr>
          <w:ilvl w:val="0"/>
          <w:numId w:val="17"/>
        </w:numPr>
        <w:spacing w:before="100" w:beforeAutospacing="1" w:after="100" w:afterAutospacing="1"/>
        <w:ind w:left="709" w:firstLine="0"/>
        <w:rPr>
          <w:rFonts w:cs="Arial"/>
        </w:rPr>
      </w:pPr>
      <w:r w:rsidRPr="00FD6366">
        <w:rPr>
          <w:rFonts w:cs="Arial"/>
        </w:rPr>
        <w:t>treated confidentially</w:t>
      </w:r>
    </w:p>
    <w:p w:rsidR="00FD6366" w:rsidRPr="00FD6366" w:rsidRDefault="00FD6366" w:rsidP="00F641FF">
      <w:pPr>
        <w:numPr>
          <w:ilvl w:val="0"/>
          <w:numId w:val="17"/>
        </w:numPr>
        <w:spacing w:before="100" w:beforeAutospacing="1" w:after="100" w:afterAutospacing="1"/>
        <w:ind w:left="709" w:firstLine="0"/>
        <w:rPr>
          <w:rFonts w:cs="Arial"/>
        </w:rPr>
      </w:pPr>
      <w:r w:rsidRPr="00FD6366">
        <w:rPr>
          <w:rFonts w:cs="Arial"/>
        </w:rPr>
        <w:t xml:space="preserve">stored securely </w:t>
      </w:r>
    </w:p>
    <w:p w:rsidR="00FD6366" w:rsidRDefault="00FD6366" w:rsidP="00F641FF">
      <w:pPr>
        <w:numPr>
          <w:ilvl w:val="0"/>
          <w:numId w:val="17"/>
        </w:numPr>
        <w:spacing w:before="100" w:beforeAutospacing="1" w:after="100" w:afterAutospacing="1"/>
        <w:ind w:left="1134" w:hanging="425"/>
        <w:rPr>
          <w:rFonts w:cs="Arial"/>
        </w:rPr>
      </w:pPr>
      <w:proofErr w:type="gramStart"/>
      <w:r w:rsidRPr="00FD6366">
        <w:rPr>
          <w:rFonts w:cs="Arial"/>
        </w:rPr>
        <w:t>not</w:t>
      </w:r>
      <w:proofErr w:type="gramEnd"/>
      <w:r w:rsidRPr="00FD6366">
        <w:rPr>
          <w:rFonts w:cs="Arial"/>
        </w:rPr>
        <w:t xml:space="preserve"> kept for longer than necessary and will be securely destroyed once the issue(s) in question have been resolved.</w:t>
      </w:r>
    </w:p>
    <w:p w:rsidR="004B6413" w:rsidRDefault="006F6C6B" w:rsidP="00F641FF">
      <w:pPr>
        <w:ind w:left="709" w:hanging="709"/>
      </w:pPr>
      <w:r w:rsidRPr="004B6413">
        <w:t>7.2</w:t>
      </w:r>
      <w:r>
        <w:rPr>
          <w:b/>
        </w:rPr>
        <w:tab/>
      </w:r>
      <w:r w:rsidR="004B6413" w:rsidRPr="0078674C">
        <w:t>Employees</w:t>
      </w:r>
      <w:r w:rsidR="00FD6366" w:rsidRPr="002540B5">
        <w:t xml:space="preserve"> are notified of the nature of any monitoring that is taking place</w:t>
      </w:r>
      <w:r w:rsidR="009A3A57">
        <w:t>, unless</w:t>
      </w:r>
      <w:r w:rsidR="002C1821">
        <w:t xml:space="preserve"> covert</w:t>
      </w:r>
      <w:r w:rsidR="009A3A57">
        <w:t xml:space="preserve"> monitoring is in operation</w:t>
      </w:r>
      <w:r w:rsidR="00FD6366" w:rsidRPr="002540B5">
        <w:t xml:space="preserve">. If any changes are made in regard </w:t>
      </w:r>
      <w:r w:rsidR="00FD6366" w:rsidRPr="00E90E27">
        <w:t xml:space="preserve">to monitoring, </w:t>
      </w:r>
      <w:r w:rsidR="0078674C">
        <w:t>employees</w:t>
      </w:r>
      <w:r w:rsidR="002540B5" w:rsidRPr="00E90E27">
        <w:t xml:space="preserve"> </w:t>
      </w:r>
      <w:r w:rsidR="00FD6366" w:rsidRPr="00E90E27">
        <w:t>will be notified</w:t>
      </w:r>
      <w:r w:rsidR="00C1098E">
        <w:t>.</w:t>
      </w:r>
    </w:p>
    <w:p w:rsidR="004B6413" w:rsidRDefault="004B6413" w:rsidP="00F641FF">
      <w:pPr>
        <w:ind w:left="567" w:hanging="567"/>
      </w:pPr>
    </w:p>
    <w:p w:rsidR="004B6413" w:rsidRDefault="004B6413" w:rsidP="00F641FF">
      <w:pPr>
        <w:ind w:left="709" w:hanging="709"/>
      </w:pPr>
      <w:r>
        <w:t>7</w:t>
      </w:r>
      <w:r w:rsidRPr="0078674C">
        <w:t>.3</w:t>
      </w:r>
      <w:r w:rsidRPr="0078674C">
        <w:tab/>
      </w:r>
      <w:r w:rsidRPr="00542AF4">
        <w:t>Em</w:t>
      </w:r>
      <w:r w:rsidR="00A854DB" w:rsidRPr="00542AF4">
        <w:t xml:space="preserve">ployees have </w:t>
      </w:r>
      <w:r w:rsidR="00A507E4" w:rsidRPr="00E9004E">
        <w:t xml:space="preserve">a </w:t>
      </w:r>
      <w:r w:rsidR="00A854DB" w:rsidRPr="00E9004E">
        <w:t xml:space="preserve">right to find out what personal information the Council holds about them.  Personal data collected for monitoring purposes will be </w:t>
      </w:r>
      <w:r w:rsidR="0078674C" w:rsidRPr="00E9004E">
        <w:t>made available</w:t>
      </w:r>
      <w:r w:rsidR="00E11327">
        <w:t xml:space="preserve"> to employees </w:t>
      </w:r>
      <w:r w:rsidR="00A854DB" w:rsidRPr="0078674C">
        <w:t>if</w:t>
      </w:r>
      <w:r w:rsidR="001A7047">
        <w:t xml:space="preserve"> requested in line with </w:t>
      </w:r>
      <w:r w:rsidR="00E11327">
        <w:t>the principles of the</w:t>
      </w:r>
      <w:r w:rsidR="00A854DB" w:rsidRPr="0078674C">
        <w:t xml:space="preserve"> </w:t>
      </w:r>
      <w:r w:rsidR="00922690">
        <w:t xml:space="preserve">data protection </w:t>
      </w:r>
      <w:r w:rsidR="001A5368">
        <w:t xml:space="preserve">requirements </w:t>
      </w:r>
      <w:r w:rsidR="001A5368" w:rsidRPr="0078674C">
        <w:t>unless</w:t>
      </w:r>
      <w:r w:rsidR="00A854DB" w:rsidRPr="0078674C">
        <w:t xml:space="preserve"> an exemption applies.</w:t>
      </w:r>
      <w:r w:rsidR="00A854DB">
        <w:t xml:space="preserve"> </w:t>
      </w:r>
    </w:p>
    <w:p w:rsidR="00624DF4" w:rsidRDefault="00624DF4" w:rsidP="00F641FF">
      <w:pPr>
        <w:ind w:left="709" w:hanging="709"/>
      </w:pPr>
    </w:p>
    <w:p w:rsidR="004B6413" w:rsidRPr="002540B5" w:rsidRDefault="00624DF4" w:rsidP="00F641FF">
      <w:pPr>
        <w:ind w:left="709" w:hanging="709"/>
        <w:rPr>
          <w:b/>
        </w:rPr>
      </w:pPr>
      <w:r>
        <w:t>7.4</w:t>
      </w:r>
      <w:r>
        <w:tab/>
        <w:t>Employ</w:t>
      </w:r>
      <w:r w:rsidR="0031401E">
        <w:t xml:space="preserve">ees should raise any concerns about data monitoring with their line manager in the first instance.  If this is not appropriate they may contact a senior manager, Human Resources or Trade Union representative.  If the issue is not resolved </w:t>
      </w:r>
      <w:r w:rsidR="00966375">
        <w:t xml:space="preserve">then </w:t>
      </w:r>
      <w:r w:rsidR="0031401E">
        <w:t xml:space="preserve">employees </w:t>
      </w:r>
      <w:r w:rsidR="00254AC1">
        <w:t xml:space="preserve">can </w:t>
      </w:r>
      <w:r w:rsidR="0031401E">
        <w:t>raise the concern using the Council’s Grievance Procedure.</w:t>
      </w:r>
    </w:p>
    <w:p w:rsidR="005E52F8" w:rsidRPr="005E52F8" w:rsidRDefault="007E6C3F" w:rsidP="00F641FF">
      <w:pPr>
        <w:pStyle w:val="Heading1"/>
        <w:numPr>
          <w:ilvl w:val="0"/>
          <w:numId w:val="21"/>
        </w:numPr>
        <w:ind w:left="709" w:hanging="709"/>
      </w:pPr>
      <w:bookmarkStart w:id="10" w:name="_Toc422482503"/>
      <w:r>
        <w:t>Related Policies</w:t>
      </w:r>
      <w:bookmarkEnd w:id="10"/>
    </w:p>
    <w:p w:rsidR="00A731E9" w:rsidRDefault="00A731E9" w:rsidP="00A731E9"/>
    <w:p w:rsidR="006B2B6F" w:rsidRDefault="00A731E9" w:rsidP="00F641FF">
      <w:pPr>
        <w:pStyle w:val="ListParagraph"/>
        <w:numPr>
          <w:ilvl w:val="1"/>
          <w:numId w:val="21"/>
        </w:numPr>
        <w:tabs>
          <w:tab w:val="left" w:pos="709"/>
        </w:tabs>
        <w:ind w:left="567" w:hanging="567"/>
      </w:pPr>
      <w:r w:rsidRPr="000338EA">
        <w:t>Employees are expected to ensure that the</w:t>
      </w:r>
      <w:r w:rsidR="002F61F6">
        <w:t>y</w:t>
      </w:r>
      <w:r w:rsidRPr="000338EA">
        <w:t xml:space="preserve"> comply with </w:t>
      </w:r>
      <w:r w:rsidR="00E245BA">
        <w:t xml:space="preserve">all </w:t>
      </w:r>
      <w:r w:rsidRPr="000338EA">
        <w:t xml:space="preserve">Council Policies and Procedures. </w:t>
      </w:r>
      <w:r w:rsidR="000338EA" w:rsidRPr="000338EA">
        <w:t>Employees</w:t>
      </w:r>
      <w:r w:rsidRPr="000338EA">
        <w:t xml:space="preserve"> are responsible for their own conduct and ensur</w:t>
      </w:r>
      <w:r w:rsidR="002F61F6">
        <w:t>ing</w:t>
      </w:r>
      <w:r w:rsidRPr="000338EA">
        <w:t xml:space="preserve"> they do not </w:t>
      </w:r>
      <w:r w:rsidR="000338EA" w:rsidRPr="000338EA">
        <w:t xml:space="preserve">put the Council at risk or bring </w:t>
      </w:r>
      <w:r w:rsidR="002F61F6">
        <w:t>it</w:t>
      </w:r>
      <w:r w:rsidR="000338EA" w:rsidRPr="000338EA">
        <w:t xml:space="preserve"> into disrepute. </w:t>
      </w:r>
    </w:p>
    <w:p w:rsidR="006B2B6F" w:rsidRDefault="000338EA" w:rsidP="00F641FF">
      <w:pPr>
        <w:pStyle w:val="ListParagraph"/>
        <w:tabs>
          <w:tab w:val="left" w:pos="709"/>
        </w:tabs>
        <w:ind w:left="567"/>
      </w:pPr>
      <w:r w:rsidRPr="000338EA">
        <w:t xml:space="preserve"> </w:t>
      </w:r>
    </w:p>
    <w:p w:rsidR="00A731E9" w:rsidRPr="000338EA" w:rsidRDefault="000338EA" w:rsidP="00F641FF">
      <w:pPr>
        <w:pStyle w:val="ListParagraph"/>
        <w:numPr>
          <w:ilvl w:val="1"/>
          <w:numId w:val="21"/>
        </w:numPr>
        <w:tabs>
          <w:tab w:val="left" w:pos="709"/>
        </w:tabs>
        <w:ind w:left="567" w:hanging="567"/>
      </w:pPr>
      <w:r w:rsidRPr="000338EA">
        <w:t>Other policies and procedur</w:t>
      </w:r>
      <w:r>
        <w:t>es that have relevance to this policy include:-</w:t>
      </w:r>
    </w:p>
    <w:p w:rsidR="000338EA" w:rsidRDefault="000338EA" w:rsidP="00F641FF">
      <w:pPr>
        <w:pStyle w:val="ListParagraph"/>
        <w:numPr>
          <w:ilvl w:val="2"/>
          <w:numId w:val="20"/>
        </w:numPr>
        <w:tabs>
          <w:tab w:val="left" w:pos="1134"/>
        </w:tabs>
        <w:ind w:left="1276" w:hanging="709"/>
      </w:pPr>
      <w:r>
        <w:t>Employee Code of Conduct</w:t>
      </w:r>
    </w:p>
    <w:p w:rsidR="002F61F6" w:rsidRDefault="002F61F6" w:rsidP="00F641FF">
      <w:pPr>
        <w:pStyle w:val="ListParagraph"/>
        <w:numPr>
          <w:ilvl w:val="2"/>
          <w:numId w:val="20"/>
        </w:numPr>
        <w:tabs>
          <w:tab w:val="left" w:pos="1134"/>
        </w:tabs>
        <w:ind w:left="1276" w:hanging="709"/>
      </w:pPr>
      <w:r>
        <w:t>CCTV Monitoring</w:t>
      </w:r>
      <w:r w:rsidR="009C627F">
        <w:t xml:space="preserve"> Policy</w:t>
      </w:r>
    </w:p>
    <w:p w:rsidR="000338EA" w:rsidRDefault="002F61F6" w:rsidP="00F641FF">
      <w:pPr>
        <w:pStyle w:val="ListParagraph"/>
        <w:numPr>
          <w:ilvl w:val="2"/>
          <w:numId w:val="20"/>
        </w:numPr>
        <w:tabs>
          <w:tab w:val="left" w:pos="1134"/>
        </w:tabs>
        <w:ind w:left="1276" w:hanging="709"/>
      </w:pPr>
      <w:r>
        <w:t>ICT Security</w:t>
      </w:r>
      <w:r w:rsidR="009C627F">
        <w:t xml:space="preserve"> Policy </w:t>
      </w:r>
    </w:p>
    <w:p w:rsidR="002F61F6" w:rsidRDefault="006B2B6F" w:rsidP="00F641FF">
      <w:pPr>
        <w:pStyle w:val="ListParagraph"/>
        <w:numPr>
          <w:ilvl w:val="2"/>
          <w:numId w:val="20"/>
        </w:numPr>
        <w:tabs>
          <w:tab w:val="left" w:pos="1134"/>
        </w:tabs>
        <w:ind w:left="1276" w:hanging="709"/>
      </w:pPr>
      <w:r>
        <w:t>Email and Internet Use</w:t>
      </w:r>
    </w:p>
    <w:p w:rsidR="006B2B6F" w:rsidRDefault="006B2B6F" w:rsidP="00F641FF">
      <w:pPr>
        <w:pStyle w:val="ListParagraph"/>
        <w:numPr>
          <w:ilvl w:val="2"/>
          <w:numId w:val="20"/>
        </w:numPr>
        <w:ind w:left="1134" w:hanging="567"/>
      </w:pPr>
      <w:r>
        <w:t>Disciplinary Policy and Procedure</w:t>
      </w:r>
    </w:p>
    <w:p w:rsidR="00254AC1" w:rsidRDefault="00254AC1" w:rsidP="00F641FF">
      <w:pPr>
        <w:pStyle w:val="ListParagraph"/>
        <w:numPr>
          <w:ilvl w:val="2"/>
          <w:numId w:val="20"/>
        </w:numPr>
        <w:tabs>
          <w:tab w:val="left" w:pos="1134"/>
        </w:tabs>
        <w:ind w:left="1276" w:hanging="709"/>
      </w:pPr>
      <w:r>
        <w:lastRenderedPageBreak/>
        <w:t>Performance Improvement Policy &amp; Procedure</w:t>
      </w:r>
    </w:p>
    <w:p w:rsidR="00254AC1" w:rsidRDefault="00254AC1" w:rsidP="00F641FF">
      <w:pPr>
        <w:pStyle w:val="ListParagraph"/>
        <w:numPr>
          <w:ilvl w:val="2"/>
          <w:numId w:val="20"/>
        </w:numPr>
        <w:tabs>
          <w:tab w:val="left" w:pos="1134"/>
        </w:tabs>
        <w:ind w:left="1276" w:hanging="709"/>
      </w:pPr>
      <w:r>
        <w:t>Grievance Policy &amp; Procedure</w:t>
      </w:r>
    </w:p>
    <w:p w:rsidR="002540B5" w:rsidRDefault="002540B5" w:rsidP="00F641FF">
      <w:pPr>
        <w:pStyle w:val="ListParagraph"/>
        <w:numPr>
          <w:ilvl w:val="2"/>
          <w:numId w:val="20"/>
        </w:numPr>
        <w:tabs>
          <w:tab w:val="left" w:pos="1134"/>
        </w:tabs>
        <w:ind w:left="1276" w:hanging="709"/>
      </w:pPr>
      <w:r>
        <w:t xml:space="preserve">Data Protection Policy </w:t>
      </w:r>
    </w:p>
    <w:p w:rsidR="006B2B6F" w:rsidRDefault="006B2B6F" w:rsidP="00F641FF">
      <w:pPr>
        <w:pStyle w:val="ListParagraph"/>
        <w:numPr>
          <w:ilvl w:val="2"/>
          <w:numId w:val="20"/>
        </w:numPr>
        <w:tabs>
          <w:tab w:val="left" w:pos="1134"/>
        </w:tabs>
        <w:ind w:left="1276" w:hanging="709"/>
      </w:pPr>
      <w:r>
        <w:t>Avoiding Bribery, Fraud and Corruption Policy</w:t>
      </w:r>
    </w:p>
    <w:p w:rsidR="006B2B6F" w:rsidRDefault="008D2DE3" w:rsidP="00F641FF">
      <w:pPr>
        <w:pStyle w:val="ListParagraph"/>
        <w:numPr>
          <w:ilvl w:val="2"/>
          <w:numId w:val="20"/>
        </w:numPr>
        <w:tabs>
          <w:tab w:val="left" w:pos="1134"/>
        </w:tabs>
        <w:ind w:left="1276" w:hanging="709"/>
      </w:pPr>
      <w:r>
        <w:t>Social Media Protocol</w:t>
      </w:r>
    </w:p>
    <w:p w:rsidR="008D2DE3" w:rsidRPr="00C1098E" w:rsidRDefault="00380BF8" w:rsidP="00F641FF">
      <w:pPr>
        <w:pStyle w:val="ListParagraph"/>
        <w:numPr>
          <w:ilvl w:val="2"/>
          <w:numId w:val="20"/>
        </w:numPr>
        <w:tabs>
          <w:tab w:val="left" w:pos="1134"/>
        </w:tabs>
        <w:ind w:left="1276" w:hanging="709"/>
      </w:pPr>
      <w:r w:rsidRPr="00C1098E">
        <w:t>Drivers Handbook</w:t>
      </w:r>
    </w:p>
    <w:p w:rsidR="008D2DE3" w:rsidRPr="000338EA" w:rsidRDefault="008D2DE3" w:rsidP="00F641FF">
      <w:pPr>
        <w:pStyle w:val="ListParagraph"/>
        <w:tabs>
          <w:tab w:val="left" w:pos="709"/>
        </w:tabs>
        <w:ind w:left="930"/>
      </w:pPr>
    </w:p>
    <w:p w:rsidR="00A731E9" w:rsidRPr="008D2DE3" w:rsidRDefault="008D2DE3" w:rsidP="00F641FF">
      <w:pPr>
        <w:tabs>
          <w:tab w:val="left" w:pos="709"/>
        </w:tabs>
        <w:rPr>
          <w:rFonts w:cs="Arial"/>
        </w:rPr>
      </w:pPr>
      <w:r w:rsidRPr="008D2DE3">
        <w:rPr>
          <w:rFonts w:cs="Arial"/>
        </w:rPr>
        <w:t>This list is not exhaustive.</w:t>
      </w:r>
    </w:p>
    <w:p w:rsidR="007E6C3F" w:rsidRDefault="008D2DE3" w:rsidP="00F641FF">
      <w:pPr>
        <w:pStyle w:val="Heading1"/>
        <w:numPr>
          <w:ilvl w:val="0"/>
          <w:numId w:val="21"/>
        </w:numPr>
        <w:ind w:left="567" w:hanging="567"/>
      </w:pPr>
      <w:bookmarkStart w:id="11" w:name="_Toc422482504"/>
      <w:r>
        <w:t>R</w:t>
      </w:r>
      <w:r w:rsidR="007E6C3F">
        <w:t>eview</w:t>
      </w:r>
      <w:bookmarkEnd w:id="11"/>
    </w:p>
    <w:p w:rsidR="005E52F8" w:rsidRDefault="005E52F8" w:rsidP="00F641FF">
      <w:pPr>
        <w:ind w:left="567" w:hanging="567"/>
      </w:pPr>
    </w:p>
    <w:p w:rsidR="005E52F8" w:rsidRPr="005E52F8" w:rsidRDefault="005E52F8" w:rsidP="00F641FF">
      <w:pPr>
        <w:ind w:left="567" w:hanging="567"/>
      </w:pPr>
      <w:r w:rsidRPr="005E52F8">
        <w:rPr>
          <w:rFonts w:cs="Arial"/>
        </w:rPr>
        <w:t>9.1</w:t>
      </w:r>
      <w:r>
        <w:rPr>
          <w:rFonts w:cs="Arial"/>
        </w:rPr>
        <w:tab/>
      </w:r>
      <w:r w:rsidRPr="005E52F8">
        <w:t xml:space="preserve"> </w:t>
      </w:r>
      <w:r w:rsidRPr="005E52F8">
        <w:rPr>
          <w:rFonts w:cs="Arial"/>
        </w:rPr>
        <w:t>The Chief Executive, as Head of Paid Service, has overall responsibility for employees and will receive regular information regarding this policy. The document will be regularly reviewed</w:t>
      </w:r>
      <w:r>
        <w:rPr>
          <w:sz w:val="23"/>
          <w:szCs w:val="23"/>
        </w:rPr>
        <w:t>.</w:t>
      </w:r>
    </w:p>
    <w:p w:rsidR="00F869DC" w:rsidRDefault="00F869DC" w:rsidP="00F869DC"/>
    <w:sectPr w:rsidR="00F869DC" w:rsidSect="00C0499B">
      <w:footerReference w:type="default" r:id="rId10"/>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E2" w:rsidRDefault="008454E2" w:rsidP="00B21479">
      <w:r>
        <w:separator/>
      </w:r>
    </w:p>
  </w:endnote>
  <w:endnote w:type="continuationSeparator" w:id="0">
    <w:p w:rsidR="008454E2" w:rsidRDefault="008454E2"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D0546F" w:rsidRDefault="00B21479" w:rsidP="00B21479">
    <w:pPr>
      <w:pStyle w:val="Footer"/>
      <w:rPr>
        <w:rFonts w:cs="Arial"/>
        <w:sz w:val="22"/>
        <w:szCs w:val="22"/>
      </w:rPr>
    </w:pPr>
    <w:r w:rsidRPr="00D0546F">
      <w:rPr>
        <w:rFonts w:cs="Arial"/>
        <w:sz w:val="22"/>
        <w:szCs w:val="22"/>
      </w:rPr>
      <w:t xml:space="preserve">Dated: </w:t>
    </w:r>
    <w:r w:rsidR="00F44C22">
      <w:rPr>
        <w:rFonts w:cs="Arial"/>
        <w:sz w:val="22"/>
        <w:szCs w:val="22"/>
      </w:rPr>
      <w:t>22</w:t>
    </w:r>
    <w:r w:rsidR="00B20E69">
      <w:rPr>
        <w:rFonts w:cs="Arial"/>
        <w:sz w:val="22"/>
        <w:szCs w:val="22"/>
      </w:rPr>
      <w:t>/6/15</w:t>
    </w:r>
    <w:r w:rsidRPr="00D0546F">
      <w:rPr>
        <w:rFonts w:cs="Arial"/>
        <w:sz w:val="22"/>
        <w:szCs w:val="22"/>
      </w:rPr>
      <w:tab/>
      <w:t xml:space="preserve">          </w:t>
    </w:r>
    <w:r w:rsidRPr="00D0546F">
      <w:rPr>
        <w:rFonts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E2" w:rsidRDefault="008454E2" w:rsidP="00B21479">
      <w:r>
        <w:separator/>
      </w:r>
    </w:p>
  </w:footnote>
  <w:footnote w:type="continuationSeparator" w:id="0">
    <w:p w:rsidR="008454E2" w:rsidRDefault="008454E2"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A9C"/>
    <w:multiLevelType w:val="multilevel"/>
    <w:tmpl w:val="EBFA76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8162B3"/>
    <w:multiLevelType w:val="hybridMultilevel"/>
    <w:tmpl w:val="8B6A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01E08"/>
    <w:multiLevelType w:val="multilevel"/>
    <w:tmpl w:val="DDE4090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nsid w:val="214E68E4"/>
    <w:multiLevelType w:val="hybridMultilevel"/>
    <w:tmpl w:val="7D604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9A443CA"/>
    <w:multiLevelType w:val="hybridMultilevel"/>
    <w:tmpl w:val="A6860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C3060E3"/>
    <w:multiLevelType w:val="multilevel"/>
    <w:tmpl w:val="855C95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D1C57A0"/>
    <w:multiLevelType w:val="multilevel"/>
    <w:tmpl w:val="DEBA4A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266891"/>
    <w:multiLevelType w:val="hybridMultilevel"/>
    <w:tmpl w:val="AE381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0612B71"/>
    <w:multiLevelType w:val="hybridMultilevel"/>
    <w:tmpl w:val="18EE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1F26106"/>
    <w:multiLevelType w:val="hybridMultilevel"/>
    <w:tmpl w:val="E3664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B381598"/>
    <w:multiLevelType w:val="hybridMultilevel"/>
    <w:tmpl w:val="D6DAF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4B15F9"/>
    <w:multiLevelType w:val="multilevel"/>
    <w:tmpl w:val="22521E1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nsid w:val="475E1F9C"/>
    <w:multiLevelType w:val="multilevel"/>
    <w:tmpl w:val="CB04D8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A9725CC"/>
    <w:multiLevelType w:val="multilevel"/>
    <w:tmpl w:val="DDE4090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4">
    <w:nsid w:val="5C34009E"/>
    <w:multiLevelType w:val="hybridMultilevel"/>
    <w:tmpl w:val="D6F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BB0EB7"/>
    <w:multiLevelType w:val="hybridMultilevel"/>
    <w:tmpl w:val="A05A1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8572532"/>
    <w:multiLevelType w:val="hybridMultilevel"/>
    <w:tmpl w:val="2BE67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FB2653"/>
    <w:multiLevelType w:val="hybridMultilevel"/>
    <w:tmpl w:val="A4EC9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EE621C4"/>
    <w:multiLevelType w:val="multilevel"/>
    <w:tmpl w:val="22521E1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9"/>
  </w:num>
  <w:num w:numId="2">
    <w:abstractNumId w:val="9"/>
  </w:num>
  <w:num w:numId="3">
    <w:abstractNumId w:val="11"/>
  </w:num>
  <w:num w:numId="4">
    <w:abstractNumId w:val="2"/>
  </w:num>
  <w:num w:numId="5">
    <w:abstractNumId w:val="18"/>
  </w:num>
  <w:num w:numId="6">
    <w:abstractNumId w:val="16"/>
  </w:num>
  <w:num w:numId="7">
    <w:abstractNumId w:val="4"/>
  </w:num>
  <w:num w:numId="8">
    <w:abstractNumId w:val="10"/>
  </w:num>
  <w:num w:numId="9">
    <w:abstractNumId w:val="15"/>
  </w:num>
  <w:num w:numId="10">
    <w:abstractNumId w:val="3"/>
  </w:num>
  <w:num w:numId="11">
    <w:abstractNumId w:val="7"/>
  </w:num>
  <w:num w:numId="12">
    <w:abstractNumId w:val="17"/>
  </w:num>
  <w:num w:numId="13">
    <w:abstractNumId w:val="8"/>
  </w:num>
  <w:num w:numId="14">
    <w:abstractNumId w:val="14"/>
  </w:num>
  <w:num w:numId="15">
    <w:abstractNumId w:val="3"/>
  </w:num>
  <w:num w:numId="16">
    <w:abstractNumId w:val="1"/>
  </w:num>
  <w:num w:numId="17">
    <w:abstractNumId w:val="5"/>
  </w:num>
  <w:num w:numId="18">
    <w:abstractNumId w:val="13"/>
  </w:num>
  <w:num w:numId="19">
    <w:abstractNumId w:val="12"/>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53"/>
    <w:rsid w:val="0001261A"/>
    <w:rsid w:val="000175E9"/>
    <w:rsid w:val="0002177D"/>
    <w:rsid w:val="000338EA"/>
    <w:rsid w:val="0005090D"/>
    <w:rsid w:val="00062FFA"/>
    <w:rsid w:val="00087B1E"/>
    <w:rsid w:val="000A7556"/>
    <w:rsid w:val="000B4310"/>
    <w:rsid w:val="000B6935"/>
    <w:rsid w:val="000E0913"/>
    <w:rsid w:val="000E6F29"/>
    <w:rsid w:val="000F232E"/>
    <w:rsid w:val="0010767C"/>
    <w:rsid w:val="0011063E"/>
    <w:rsid w:val="0012099E"/>
    <w:rsid w:val="001232BF"/>
    <w:rsid w:val="00123E14"/>
    <w:rsid w:val="0014092B"/>
    <w:rsid w:val="00163422"/>
    <w:rsid w:val="001705DF"/>
    <w:rsid w:val="00196545"/>
    <w:rsid w:val="001A5368"/>
    <w:rsid w:val="001A7047"/>
    <w:rsid w:val="001D2506"/>
    <w:rsid w:val="001D2602"/>
    <w:rsid w:val="001D5F3D"/>
    <w:rsid w:val="001F7658"/>
    <w:rsid w:val="00200368"/>
    <w:rsid w:val="00227F03"/>
    <w:rsid w:val="0025089B"/>
    <w:rsid w:val="002540B5"/>
    <w:rsid w:val="00254AC1"/>
    <w:rsid w:val="0026006C"/>
    <w:rsid w:val="00273514"/>
    <w:rsid w:val="002754A9"/>
    <w:rsid w:val="0028752A"/>
    <w:rsid w:val="00294AA4"/>
    <w:rsid w:val="002B2EB4"/>
    <w:rsid w:val="002C1821"/>
    <w:rsid w:val="002E476E"/>
    <w:rsid w:val="002F61F6"/>
    <w:rsid w:val="003022F3"/>
    <w:rsid w:val="00304592"/>
    <w:rsid w:val="0031401E"/>
    <w:rsid w:val="00322BCE"/>
    <w:rsid w:val="003369A7"/>
    <w:rsid w:val="00344551"/>
    <w:rsid w:val="00347F7B"/>
    <w:rsid w:val="003572B1"/>
    <w:rsid w:val="00380BF8"/>
    <w:rsid w:val="00390198"/>
    <w:rsid w:val="0039366E"/>
    <w:rsid w:val="003A2A0A"/>
    <w:rsid w:val="003B39A2"/>
    <w:rsid w:val="003B53ED"/>
    <w:rsid w:val="003F28CA"/>
    <w:rsid w:val="004000D7"/>
    <w:rsid w:val="00430258"/>
    <w:rsid w:val="00437490"/>
    <w:rsid w:val="004521D8"/>
    <w:rsid w:val="004757F5"/>
    <w:rsid w:val="0048364A"/>
    <w:rsid w:val="004B6413"/>
    <w:rsid w:val="004D4A0C"/>
    <w:rsid w:val="004E4139"/>
    <w:rsid w:val="004F2665"/>
    <w:rsid w:val="00504E43"/>
    <w:rsid w:val="00510570"/>
    <w:rsid w:val="00530F42"/>
    <w:rsid w:val="00542AF4"/>
    <w:rsid w:val="00551B8A"/>
    <w:rsid w:val="00570BD4"/>
    <w:rsid w:val="005856D9"/>
    <w:rsid w:val="005A3176"/>
    <w:rsid w:val="005A6A2E"/>
    <w:rsid w:val="005B3739"/>
    <w:rsid w:val="005E52F8"/>
    <w:rsid w:val="00621B39"/>
    <w:rsid w:val="00624B18"/>
    <w:rsid w:val="00624DF4"/>
    <w:rsid w:val="0063380F"/>
    <w:rsid w:val="0065455B"/>
    <w:rsid w:val="00664932"/>
    <w:rsid w:val="00671554"/>
    <w:rsid w:val="006B2B6F"/>
    <w:rsid w:val="006B3471"/>
    <w:rsid w:val="006F6C6B"/>
    <w:rsid w:val="0071366D"/>
    <w:rsid w:val="00715168"/>
    <w:rsid w:val="00725D87"/>
    <w:rsid w:val="00770847"/>
    <w:rsid w:val="0078674C"/>
    <w:rsid w:val="007908F4"/>
    <w:rsid w:val="007B6D53"/>
    <w:rsid w:val="007D4137"/>
    <w:rsid w:val="007E6C3F"/>
    <w:rsid w:val="007F4C9E"/>
    <w:rsid w:val="008005C1"/>
    <w:rsid w:val="008454E2"/>
    <w:rsid w:val="00851F9E"/>
    <w:rsid w:val="008568DB"/>
    <w:rsid w:val="008A22C6"/>
    <w:rsid w:val="008A7630"/>
    <w:rsid w:val="008B088F"/>
    <w:rsid w:val="008D2DE3"/>
    <w:rsid w:val="008E67FB"/>
    <w:rsid w:val="008F4B29"/>
    <w:rsid w:val="00903357"/>
    <w:rsid w:val="009036DE"/>
    <w:rsid w:val="00903E42"/>
    <w:rsid w:val="00922690"/>
    <w:rsid w:val="00966375"/>
    <w:rsid w:val="00977B56"/>
    <w:rsid w:val="009816C5"/>
    <w:rsid w:val="00991F08"/>
    <w:rsid w:val="009A3A57"/>
    <w:rsid w:val="009B71ED"/>
    <w:rsid w:val="009C627F"/>
    <w:rsid w:val="009D6486"/>
    <w:rsid w:val="00A02103"/>
    <w:rsid w:val="00A036A8"/>
    <w:rsid w:val="00A116D3"/>
    <w:rsid w:val="00A45794"/>
    <w:rsid w:val="00A507E4"/>
    <w:rsid w:val="00A731E9"/>
    <w:rsid w:val="00A854DB"/>
    <w:rsid w:val="00AB1C5C"/>
    <w:rsid w:val="00AC645E"/>
    <w:rsid w:val="00AE0986"/>
    <w:rsid w:val="00AE53CD"/>
    <w:rsid w:val="00AE53D2"/>
    <w:rsid w:val="00B046A0"/>
    <w:rsid w:val="00B10044"/>
    <w:rsid w:val="00B10425"/>
    <w:rsid w:val="00B1726B"/>
    <w:rsid w:val="00B20E69"/>
    <w:rsid w:val="00B21479"/>
    <w:rsid w:val="00B4142B"/>
    <w:rsid w:val="00B523D0"/>
    <w:rsid w:val="00B66D5F"/>
    <w:rsid w:val="00B937B7"/>
    <w:rsid w:val="00BA72B2"/>
    <w:rsid w:val="00BC2B2E"/>
    <w:rsid w:val="00C0143F"/>
    <w:rsid w:val="00C0499B"/>
    <w:rsid w:val="00C04C6F"/>
    <w:rsid w:val="00C07F80"/>
    <w:rsid w:val="00C1098E"/>
    <w:rsid w:val="00C6246B"/>
    <w:rsid w:val="00C77351"/>
    <w:rsid w:val="00CA0CBE"/>
    <w:rsid w:val="00CC0983"/>
    <w:rsid w:val="00CC1B24"/>
    <w:rsid w:val="00CE1DAB"/>
    <w:rsid w:val="00CE43C2"/>
    <w:rsid w:val="00CE4EC0"/>
    <w:rsid w:val="00CF39DA"/>
    <w:rsid w:val="00D033C0"/>
    <w:rsid w:val="00D0546F"/>
    <w:rsid w:val="00D52461"/>
    <w:rsid w:val="00D55026"/>
    <w:rsid w:val="00DC0C75"/>
    <w:rsid w:val="00DC5E5D"/>
    <w:rsid w:val="00DD435D"/>
    <w:rsid w:val="00DE476B"/>
    <w:rsid w:val="00E11327"/>
    <w:rsid w:val="00E245BA"/>
    <w:rsid w:val="00E9004E"/>
    <w:rsid w:val="00E90E27"/>
    <w:rsid w:val="00EC775F"/>
    <w:rsid w:val="00EF3CF9"/>
    <w:rsid w:val="00F44C22"/>
    <w:rsid w:val="00F50AD2"/>
    <w:rsid w:val="00F641FF"/>
    <w:rsid w:val="00F869DC"/>
    <w:rsid w:val="00FD28C2"/>
    <w:rsid w:val="00FD3A85"/>
    <w:rsid w:val="00FD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6B"/>
    <w:rPr>
      <w:rFonts w:eastAsia="Times New Roman" w:cs="Times New Roman"/>
      <w:lang w:eastAsia="en-GB"/>
    </w:rPr>
  </w:style>
  <w:style w:type="paragraph" w:styleId="Heading1">
    <w:name w:val="heading 1"/>
    <w:basedOn w:val="Normal"/>
    <w:next w:val="Normal"/>
    <w:link w:val="Heading1Char"/>
    <w:uiPriority w:val="9"/>
    <w:qFormat/>
    <w:rsid w:val="00F869DC"/>
    <w:pPr>
      <w:keepNext/>
      <w:keepLines/>
      <w:spacing w:before="480"/>
      <w:outlineLvl w:val="0"/>
    </w:pPr>
    <w:rPr>
      <w:rFonts w:eastAsiaTheme="majorEastAsia" w:cstheme="majorBidi"/>
      <w:b/>
      <w:bCs/>
      <w:smallCaps/>
      <w:szCs w:val="28"/>
    </w:rPr>
  </w:style>
  <w:style w:type="paragraph" w:styleId="Heading2">
    <w:name w:val="heading 2"/>
    <w:basedOn w:val="Normal"/>
    <w:next w:val="Normal"/>
    <w:link w:val="Heading2Char"/>
    <w:uiPriority w:val="9"/>
    <w:unhideWhenUsed/>
    <w:qFormat/>
    <w:rsid w:val="0010767C"/>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F869DC"/>
    <w:rPr>
      <w:rFonts w:eastAsiaTheme="majorEastAsia" w:cstheme="majorBidi"/>
      <w:b/>
      <w:bCs/>
      <w:smallCaps/>
      <w:szCs w:val="28"/>
      <w:lang w:eastAsia="en-GB"/>
    </w:rPr>
  </w:style>
  <w:style w:type="paragraph" w:styleId="ListParagraph">
    <w:name w:val="List Paragraph"/>
    <w:basedOn w:val="Normal"/>
    <w:uiPriority w:val="34"/>
    <w:qFormat/>
    <w:rsid w:val="00F869DC"/>
    <w:pPr>
      <w:ind w:left="720"/>
    </w:pPr>
    <w:rPr>
      <w:rFonts w:eastAsiaTheme="minorHAnsi" w:cs="Arial"/>
      <w:lang w:eastAsia="en-US"/>
    </w:rPr>
  </w:style>
  <w:style w:type="paragraph" w:styleId="TOCHeading">
    <w:name w:val="TOC Heading"/>
    <w:basedOn w:val="Heading1"/>
    <w:next w:val="Normal"/>
    <w:uiPriority w:val="39"/>
    <w:semiHidden/>
    <w:unhideWhenUsed/>
    <w:qFormat/>
    <w:rsid w:val="007E6C3F"/>
    <w:pPr>
      <w:spacing w:line="276" w:lineRule="auto"/>
      <w:outlineLvl w:val="9"/>
    </w:pPr>
    <w:rPr>
      <w:rFonts w:asciiTheme="majorHAnsi" w:hAnsiTheme="majorHAnsi"/>
      <w:smallCaps w:val="0"/>
      <w:color w:val="365F91" w:themeColor="accent1" w:themeShade="BF"/>
      <w:sz w:val="28"/>
      <w:lang w:val="en-US" w:eastAsia="ja-JP"/>
    </w:rPr>
  </w:style>
  <w:style w:type="paragraph" w:styleId="TOC1">
    <w:name w:val="toc 1"/>
    <w:basedOn w:val="Normal"/>
    <w:next w:val="Normal"/>
    <w:autoRedefine/>
    <w:uiPriority w:val="39"/>
    <w:unhideWhenUsed/>
    <w:rsid w:val="007E6C3F"/>
    <w:pPr>
      <w:spacing w:after="100"/>
    </w:pPr>
  </w:style>
  <w:style w:type="character" w:styleId="Hyperlink">
    <w:name w:val="Hyperlink"/>
    <w:basedOn w:val="DefaultParagraphFont"/>
    <w:uiPriority w:val="99"/>
    <w:unhideWhenUsed/>
    <w:rsid w:val="007E6C3F"/>
    <w:rPr>
      <w:color w:val="0000FF" w:themeColor="hyperlink"/>
      <w:u w:val="single"/>
    </w:rPr>
  </w:style>
  <w:style w:type="character" w:styleId="CommentReference">
    <w:name w:val="annotation reference"/>
    <w:basedOn w:val="DefaultParagraphFont"/>
    <w:uiPriority w:val="99"/>
    <w:semiHidden/>
    <w:unhideWhenUsed/>
    <w:rsid w:val="002F61F6"/>
    <w:rPr>
      <w:sz w:val="16"/>
      <w:szCs w:val="16"/>
    </w:rPr>
  </w:style>
  <w:style w:type="paragraph" w:styleId="CommentText">
    <w:name w:val="annotation text"/>
    <w:basedOn w:val="Normal"/>
    <w:link w:val="CommentTextChar"/>
    <w:uiPriority w:val="99"/>
    <w:semiHidden/>
    <w:unhideWhenUsed/>
    <w:rsid w:val="002F61F6"/>
    <w:rPr>
      <w:sz w:val="20"/>
      <w:szCs w:val="20"/>
    </w:rPr>
  </w:style>
  <w:style w:type="character" w:customStyle="1" w:styleId="CommentTextChar">
    <w:name w:val="Comment Text Char"/>
    <w:basedOn w:val="DefaultParagraphFont"/>
    <w:link w:val="CommentText"/>
    <w:uiPriority w:val="99"/>
    <w:semiHidden/>
    <w:rsid w:val="002F61F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61F6"/>
    <w:rPr>
      <w:b/>
      <w:bCs/>
    </w:rPr>
  </w:style>
  <w:style w:type="character" w:customStyle="1" w:styleId="CommentSubjectChar">
    <w:name w:val="Comment Subject Char"/>
    <w:basedOn w:val="CommentTextChar"/>
    <w:link w:val="CommentSubject"/>
    <w:uiPriority w:val="99"/>
    <w:semiHidden/>
    <w:rsid w:val="002F61F6"/>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FD6366"/>
    <w:pPr>
      <w:spacing w:before="100" w:beforeAutospacing="1" w:after="100" w:afterAutospacing="1"/>
    </w:pPr>
  </w:style>
  <w:style w:type="character" w:customStyle="1" w:styleId="Heading2Char">
    <w:name w:val="Heading 2 Char"/>
    <w:basedOn w:val="DefaultParagraphFont"/>
    <w:link w:val="Heading2"/>
    <w:uiPriority w:val="9"/>
    <w:rsid w:val="0010767C"/>
    <w:rPr>
      <w:rFonts w:eastAsiaTheme="majorEastAsia" w:cstheme="majorBidi"/>
      <w:b/>
      <w:bCs/>
      <w:szCs w:val="26"/>
      <w:lang w:eastAsia="en-GB"/>
    </w:rPr>
  </w:style>
  <w:style w:type="paragraph" w:styleId="TOC2">
    <w:name w:val="toc 2"/>
    <w:basedOn w:val="Normal"/>
    <w:next w:val="Normal"/>
    <w:autoRedefine/>
    <w:uiPriority w:val="39"/>
    <w:unhideWhenUsed/>
    <w:rsid w:val="00A116D3"/>
    <w:pPr>
      <w:tabs>
        <w:tab w:val="right" w:leader="dot" w:pos="9016"/>
      </w:tabs>
      <w:spacing w:after="100"/>
      <w:ind w:left="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6B"/>
    <w:rPr>
      <w:rFonts w:eastAsia="Times New Roman" w:cs="Times New Roman"/>
      <w:lang w:eastAsia="en-GB"/>
    </w:rPr>
  </w:style>
  <w:style w:type="paragraph" w:styleId="Heading1">
    <w:name w:val="heading 1"/>
    <w:basedOn w:val="Normal"/>
    <w:next w:val="Normal"/>
    <w:link w:val="Heading1Char"/>
    <w:uiPriority w:val="9"/>
    <w:qFormat/>
    <w:rsid w:val="00F869DC"/>
    <w:pPr>
      <w:keepNext/>
      <w:keepLines/>
      <w:spacing w:before="480"/>
      <w:outlineLvl w:val="0"/>
    </w:pPr>
    <w:rPr>
      <w:rFonts w:eastAsiaTheme="majorEastAsia" w:cstheme="majorBidi"/>
      <w:b/>
      <w:bCs/>
      <w:smallCaps/>
      <w:szCs w:val="28"/>
    </w:rPr>
  </w:style>
  <w:style w:type="paragraph" w:styleId="Heading2">
    <w:name w:val="heading 2"/>
    <w:basedOn w:val="Normal"/>
    <w:next w:val="Normal"/>
    <w:link w:val="Heading2Char"/>
    <w:uiPriority w:val="9"/>
    <w:unhideWhenUsed/>
    <w:qFormat/>
    <w:rsid w:val="0010767C"/>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F869DC"/>
    <w:rPr>
      <w:rFonts w:eastAsiaTheme="majorEastAsia" w:cstheme="majorBidi"/>
      <w:b/>
      <w:bCs/>
      <w:smallCaps/>
      <w:szCs w:val="28"/>
      <w:lang w:eastAsia="en-GB"/>
    </w:rPr>
  </w:style>
  <w:style w:type="paragraph" w:styleId="ListParagraph">
    <w:name w:val="List Paragraph"/>
    <w:basedOn w:val="Normal"/>
    <w:uiPriority w:val="34"/>
    <w:qFormat/>
    <w:rsid w:val="00F869DC"/>
    <w:pPr>
      <w:ind w:left="720"/>
    </w:pPr>
    <w:rPr>
      <w:rFonts w:eastAsiaTheme="minorHAnsi" w:cs="Arial"/>
      <w:lang w:eastAsia="en-US"/>
    </w:rPr>
  </w:style>
  <w:style w:type="paragraph" w:styleId="TOCHeading">
    <w:name w:val="TOC Heading"/>
    <w:basedOn w:val="Heading1"/>
    <w:next w:val="Normal"/>
    <w:uiPriority w:val="39"/>
    <w:semiHidden/>
    <w:unhideWhenUsed/>
    <w:qFormat/>
    <w:rsid w:val="007E6C3F"/>
    <w:pPr>
      <w:spacing w:line="276" w:lineRule="auto"/>
      <w:outlineLvl w:val="9"/>
    </w:pPr>
    <w:rPr>
      <w:rFonts w:asciiTheme="majorHAnsi" w:hAnsiTheme="majorHAnsi"/>
      <w:smallCaps w:val="0"/>
      <w:color w:val="365F91" w:themeColor="accent1" w:themeShade="BF"/>
      <w:sz w:val="28"/>
      <w:lang w:val="en-US" w:eastAsia="ja-JP"/>
    </w:rPr>
  </w:style>
  <w:style w:type="paragraph" w:styleId="TOC1">
    <w:name w:val="toc 1"/>
    <w:basedOn w:val="Normal"/>
    <w:next w:val="Normal"/>
    <w:autoRedefine/>
    <w:uiPriority w:val="39"/>
    <w:unhideWhenUsed/>
    <w:rsid w:val="007E6C3F"/>
    <w:pPr>
      <w:spacing w:after="100"/>
    </w:pPr>
  </w:style>
  <w:style w:type="character" w:styleId="Hyperlink">
    <w:name w:val="Hyperlink"/>
    <w:basedOn w:val="DefaultParagraphFont"/>
    <w:uiPriority w:val="99"/>
    <w:unhideWhenUsed/>
    <w:rsid w:val="007E6C3F"/>
    <w:rPr>
      <w:color w:val="0000FF" w:themeColor="hyperlink"/>
      <w:u w:val="single"/>
    </w:rPr>
  </w:style>
  <w:style w:type="character" w:styleId="CommentReference">
    <w:name w:val="annotation reference"/>
    <w:basedOn w:val="DefaultParagraphFont"/>
    <w:uiPriority w:val="99"/>
    <w:semiHidden/>
    <w:unhideWhenUsed/>
    <w:rsid w:val="002F61F6"/>
    <w:rPr>
      <w:sz w:val="16"/>
      <w:szCs w:val="16"/>
    </w:rPr>
  </w:style>
  <w:style w:type="paragraph" w:styleId="CommentText">
    <w:name w:val="annotation text"/>
    <w:basedOn w:val="Normal"/>
    <w:link w:val="CommentTextChar"/>
    <w:uiPriority w:val="99"/>
    <w:semiHidden/>
    <w:unhideWhenUsed/>
    <w:rsid w:val="002F61F6"/>
    <w:rPr>
      <w:sz w:val="20"/>
      <w:szCs w:val="20"/>
    </w:rPr>
  </w:style>
  <w:style w:type="character" w:customStyle="1" w:styleId="CommentTextChar">
    <w:name w:val="Comment Text Char"/>
    <w:basedOn w:val="DefaultParagraphFont"/>
    <w:link w:val="CommentText"/>
    <w:uiPriority w:val="99"/>
    <w:semiHidden/>
    <w:rsid w:val="002F61F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61F6"/>
    <w:rPr>
      <w:b/>
      <w:bCs/>
    </w:rPr>
  </w:style>
  <w:style w:type="character" w:customStyle="1" w:styleId="CommentSubjectChar">
    <w:name w:val="Comment Subject Char"/>
    <w:basedOn w:val="CommentTextChar"/>
    <w:link w:val="CommentSubject"/>
    <w:uiPriority w:val="99"/>
    <w:semiHidden/>
    <w:rsid w:val="002F61F6"/>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FD6366"/>
    <w:pPr>
      <w:spacing w:before="100" w:beforeAutospacing="1" w:after="100" w:afterAutospacing="1"/>
    </w:pPr>
  </w:style>
  <w:style w:type="character" w:customStyle="1" w:styleId="Heading2Char">
    <w:name w:val="Heading 2 Char"/>
    <w:basedOn w:val="DefaultParagraphFont"/>
    <w:link w:val="Heading2"/>
    <w:uiPriority w:val="9"/>
    <w:rsid w:val="0010767C"/>
    <w:rPr>
      <w:rFonts w:eastAsiaTheme="majorEastAsia" w:cstheme="majorBidi"/>
      <w:b/>
      <w:bCs/>
      <w:szCs w:val="26"/>
      <w:lang w:eastAsia="en-GB"/>
    </w:rPr>
  </w:style>
  <w:style w:type="paragraph" w:styleId="TOC2">
    <w:name w:val="toc 2"/>
    <w:basedOn w:val="Normal"/>
    <w:next w:val="Normal"/>
    <w:autoRedefine/>
    <w:uiPriority w:val="39"/>
    <w:unhideWhenUsed/>
    <w:rsid w:val="00A116D3"/>
    <w:pPr>
      <w:tabs>
        <w:tab w:val="right" w:leader="dot" w:pos="9016"/>
      </w:tabs>
      <w:spacing w:after="10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06257">
      <w:bodyDiv w:val="1"/>
      <w:marLeft w:val="0"/>
      <w:marRight w:val="0"/>
      <w:marTop w:val="0"/>
      <w:marBottom w:val="0"/>
      <w:divBdr>
        <w:top w:val="none" w:sz="0" w:space="0" w:color="auto"/>
        <w:left w:val="none" w:sz="0" w:space="0" w:color="auto"/>
        <w:bottom w:val="none" w:sz="0" w:space="0" w:color="auto"/>
        <w:right w:val="none" w:sz="0" w:space="0" w:color="auto"/>
      </w:divBdr>
    </w:div>
    <w:div w:id="776367499">
      <w:bodyDiv w:val="1"/>
      <w:marLeft w:val="0"/>
      <w:marRight w:val="0"/>
      <w:marTop w:val="0"/>
      <w:marBottom w:val="0"/>
      <w:divBdr>
        <w:top w:val="none" w:sz="0" w:space="0" w:color="auto"/>
        <w:left w:val="none" w:sz="0" w:space="0" w:color="auto"/>
        <w:bottom w:val="none" w:sz="0" w:space="0" w:color="auto"/>
        <w:right w:val="none" w:sz="0" w:space="0" w:color="auto"/>
      </w:divBdr>
    </w:div>
    <w:div w:id="1576091647">
      <w:bodyDiv w:val="1"/>
      <w:marLeft w:val="0"/>
      <w:marRight w:val="0"/>
      <w:marTop w:val="0"/>
      <w:marBottom w:val="0"/>
      <w:divBdr>
        <w:top w:val="none" w:sz="0" w:space="0" w:color="auto"/>
        <w:left w:val="none" w:sz="0" w:space="0" w:color="auto"/>
        <w:bottom w:val="none" w:sz="0" w:space="0" w:color="auto"/>
        <w:right w:val="none" w:sz="0" w:space="0" w:color="auto"/>
      </w:divBdr>
    </w:div>
    <w:div w:id="1900440051">
      <w:bodyDiv w:val="1"/>
      <w:marLeft w:val="0"/>
      <w:marRight w:val="0"/>
      <w:marTop w:val="0"/>
      <w:marBottom w:val="0"/>
      <w:divBdr>
        <w:top w:val="none" w:sz="0" w:space="0" w:color="auto"/>
        <w:left w:val="none" w:sz="0" w:space="0" w:color="auto"/>
        <w:bottom w:val="none" w:sz="0" w:space="0" w:color="auto"/>
        <w:right w:val="none" w:sz="0" w:space="0" w:color="auto"/>
      </w:divBdr>
      <w:divsChild>
        <w:div w:id="531378626">
          <w:marLeft w:val="0"/>
          <w:marRight w:val="0"/>
          <w:marTop w:val="0"/>
          <w:marBottom w:val="0"/>
          <w:divBdr>
            <w:top w:val="none" w:sz="0" w:space="0" w:color="auto"/>
            <w:left w:val="none" w:sz="0" w:space="0" w:color="auto"/>
            <w:bottom w:val="none" w:sz="0" w:space="0" w:color="auto"/>
            <w:right w:val="none" w:sz="0" w:space="0" w:color="auto"/>
          </w:divBdr>
        </w:div>
      </w:divsChild>
    </w:div>
    <w:div w:id="1976061734">
      <w:bodyDiv w:val="1"/>
      <w:marLeft w:val="0"/>
      <w:marRight w:val="0"/>
      <w:marTop w:val="0"/>
      <w:marBottom w:val="0"/>
      <w:divBdr>
        <w:top w:val="none" w:sz="0" w:space="0" w:color="auto"/>
        <w:left w:val="none" w:sz="0" w:space="0" w:color="auto"/>
        <w:bottom w:val="none" w:sz="0" w:space="0" w:color="auto"/>
        <w:right w:val="none" w:sz="0" w:space="0" w:color="auto"/>
      </w:divBdr>
      <w:divsChild>
        <w:div w:id="45189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neville\AppData\Local\Microsoft\Windows\Temporary%20Internet%20Files\Content.Outlook\JURAWN1S\Policy%20Template%20060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05CC-CD28-4EAD-84FA-BC8A1031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060514</Template>
  <TotalTime>30</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Thompson, Jennifer - Oxford City Council</cp:lastModifiedBy>
  <cp:revision>10</cp:revision>
  <cp:lastPrinted>2015-03-10T09:33:00Z</cp:lastPrinted>
  <dcterms:created xsi:type="dcterms:W3CDTF">2015-06-19T12:41:00Z</dcterms:created>
  <dcterms:modified xsi:type="dcterms:W3CDTF">2015-07-10T09:39:00Z</dcterms:modified>
</cp:coreProperties>
</file>